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9D747" w14:textId="21740C07" w:rsidR="00B668AD" w:rsidRPr="00923587" w:rsidRDefault="00AE74AD" w:rsidP="00E01D41">
      <w:pPr>
        <w:spacing w:line="240" w:lineRule="auto"/>
        <w:rPr>
          <w:rFonts w:ascii="Aptos" w:hAnsi="Aptos" w:cstheme="minorHAnsi"/>
          <w:b/>
          <w:sz w:val="28"/>
          <w:szCs w:val="28"/>
        </w:rPr>
      </w:pPr>
      <w:r w:rsidRPr="00923587">
        <w:rPr>
          <w:rFonts w:ascii="Aptos" w:hAnsi="Aptos" w:cstheme="minorHAnsi"/>
          <w:b/>
          <w:sz w:val="28"/>
          <w:szCs w:val="28"/>
        </w:rPr>
        <w:t>Learning from</w:t>
      </w:r>
      <w:r w:rsidR="00CB2441" w:rsidRPr="00923587">
        <w:rPr>
          <w:rFonts w:ascii="Aptos" w:hAnsi="Aptos" w:cstheme="minorHAnsi"/>
          <w:b/>
          <w:sz w:val="28"/>
          <w:szCs w:val="28"/>
        </w:rPr>
        <w:t xml:space="preserve"> </w:t>
      </w:r>
      <w:r w:rsidR="00E25C66" w:rsidRPr="00923587">
        <w:rPr>
          <w:rFonts w:ascii="Aptos" w:hAnsi="Aptos" w:cstheme="minorHAnsi"/>
          <w:b/>
          <w:sz w:val="28"/>
          <w:szCs w:val="28"/>
        </w:rPr>
        <w:t>Rapid</w:t>
      </w:r>
      <w:r w:rsidR="00CB2441" w:rsidRPr="00923587">
        <w:rPr>
          <w:rFonts w:ascii="Aptos" w:hAnsi="Aptos" w:cstheme="minorHAnsi"/>
          <w:b/>
          <w:sz w:val="28"/>
          <w:szCs w:val="28"/>
        </w:rPr>
        <w:t xml:space="preserve"> Review</w:t>
      </w:r>
      <w:r w:rsidR="00E25C66" w:rsidRPr="00923587">
        <w:rPr>
          <w:rFonts w:ascii="Aptos" w:hAnsi="Aptos" w:cstheme="minorHAnsi"/>
          <w:b/>
          <w:sz w:val="28"/>
          <w:szCs w:val="28"/>
        </w:rPr>
        <w:t xml:space="preserve"> for Baby </w:t>
      </w:r>
      <w:r w:rsidR="00473DD3">
        <w:rPr>
          <w:rFonts w:ascii="Aptos" w:hAnsi="Aptos" w:cstheme="minorHAnsi"/>
          <w:b/>
          <w:sz w:val="28"/>
          <w:szCs w:val="28"/>
        </w:rPr>
        <w:t xml:space="preserve">Alex (assigned </w:t>
      </w:r>
      <w:r w:rsidR="006E16FB">
        <w:rPr>
          <w:rFonts w:ascii="Aptos" w:hAnsi="Aptos" w:cstheme="minorHAnsi"/>
          <w:b/>
          <w:sz w:val="28"/>
          <w:szCs w:val="28"/>
        </w:rPr>
        <w:t>Pseudonym</w:t>
      </w:r>
      <w:r w:rsidR="00473DD3">
        <w:rPr>
          <w:rFonts w:ascii="Aptos" w:hAnsi="Aptos" w:cstheme="minorHAnsi"/>
          <w:b/>
          <w:sz w:val="28"/>
          <w:szCs w:val="28"/>
        </w:rPr>
        <w:t>)</w:t>
      </w:r>
      <w:r w:rsidR="007D6A01" w:rsidRPr="00923587">
        <w:rPr>
          <w:rFonts w:ascii="Aptos" w:hAnsi="Aptos" w:cstheme="minorHAnsi"/>
          <w:b/>
          <w:sz w:val="28"/>
          <w:szCs w:val="28"/>
        </w:rPr>
        <w:t>:</w:t>
      </w:r>
    </w:p>
    <w:p w14:paraId="20147604" w14:textId="3C9558A1" w:rsidR="00F32CF3" w:rsidRPr="00923587" w:rsidRDefault="00CB2441" w:rsidP="00E01D41">
      <w:pPr>
        <w:spacing w:line="240" w:lineRule="auto"/>
        <w:rPr>
          <w:rFonts w:ascii="Aptos" w:hAnsi="Aptos" w:cstheme="minorHAnsi"/>
          <w:b/>
          <w:szCs w:val="24"/>
        </w:rPr>
      </w:pPr>
      <w:r w:rsidRPr="00923587">
        <w:rPr>
          <w:rFonts w:ascii="Aptos" w:hAnsi="Aptos" w:cstheme="minorHAnsi"/>
          <w:b/>
          <w:szCs w:val="24"/>
        </w:rPr>
        <w:t>Background</w:t>
      </w:r>
      <w:r w:rsidR="007133D6" w:rsidRPr="00923587">
        <w:rPr>
          <w:rFonts w:ascii="Aptos" w:hAnsi="Aptos" w:cstheme="minorHAnsi"/>
          <w:b/>
          <w:szCs w:val="24"/>
        </w:rPr>
        <w:t xml:space="preserve"> and introduction</w:t>
      </w:r>
      <w:r w:rsidRPr="00923587">
        <w:rPr>
          <w:rFonts w:ascii="Aptos" w:hAnsi="Aptos" w:cstheme="minorHAnsi"/>
          <w:b/>
          <w:szCs w:val="24"/>
        </w:rPr>
        <w:t xml:space="preserve"> to review</w:t>
      </w:r>
    </w:p>
    <w:p w14:paraId="6339C25B" w14:textId="76DD24E8" w:rsidR="00F52EB4" w:rsidRDefault="00E01D41" w:rsidP="00E01D41">
      <w:pPr>
        <w:tabs>
          <w:tab w:val="left" w:pos="1770"/>
        </w:tabs>
        <w:spacing w:line="240" w:lineRule="auto"/>
        <w:rPr>
          <w:rFonts w:ascii="Aptos" w:hAnsi="Aptos" w:cstheme="minorHAnsi"/>
          <w:b/>
          <w:bCs/>
        </w:rPr>
      </w:pPr>
      <w:r w:rsidRPr="00923587">
        <w:rPr>
          <w:rFonts w:ascii="Aptos" w:hAnsi="Aptos" w:cstheme="minorHAnsi"/>
          <w:b/>
          <w:bCs/>
        </w:rPr>
        <w:t xml:space="preserve">Key findings:  </w:t>
      </w:r>
    </w:p>
    <w:p w14:paraId="3E54E74C" w14:textId="3C295306" w:rsidR="00517C98" w:rsidRDefault="00517C98" w:rsidP="08F78886">
      <w:pPr>
        <w:tabs>
          <w:tab w:val="left" w:pos="1770"/>
        </w:tabs>
        <w:spacing w:line="240" w:lineRule="auto"/>
        <w:jc w:val="both"/>
        <w:rPr>
          <w:rFonts w:ascii="Aptos" w:hAnsi="Aptos"/>
          <w:color w:val="111111"/>
          <w:sz w:val="22"/>
        </w:rPr>
      </w:pPr>
      <w:r w:rsidRPr="00517C98">
        <w:rPr>
          <w:rFonts w:ascii="Aptos" w:hAnsi="Aptos"/>
          <w:color w:val="111111"/>
          <w:sz w:val="22"/>
        </w:rPr>
        <w:t>This summary presents the main findings from the rapid review regarding Baby Alex, who was born prematurely with a low birth weight. Due to ongoing parental drug use, Baby Alex was placed under a child protection plan at birth. An incident occurred where the mother, under the influence of illegal drugs, was found asleep on Baby Alex, leading to a cardiorespiratory arrest. Baby Alex was resuscitated, and the long-term effects on their neurological development will be continuously monitored.</w:t>
      </w:r>
    </w:p>
    <w:p w14:paraId="59FD6597" w14:textId="47AD63B3" w:rsidR="00E01D41" w:rsidRPr="00923587" w:rsidRDefault="00CC7BA3" w:rsidP="00F326A9">
      <w:pPr>
        <w:pStyle w:val="Heading2"/>
        <w:keepNext w:val="0"/>
        <w:keepLines w:val="0"/>
        <w:spacing w:before="0" w:line="240" w:lineRule="auto"/>
        <w:rPr>
          <w:rFonts w:ascii="Aptos" w:hAnsi="Aptos" w:cstheme="minorHAnsi"/>
          <w:b w:val="0"/>
          <w:sz w:val="22"/>
          <w:szCs w:val="22"/>
        </w:rPr>
      </w:pPr>
      <w:r w:rsidRPr="00923587">
        <w:rPr>
          <w:rFonts w:ascii="Aptos" w:hAnsi="Aptos" w:cstheme="minorHAnsi"/>
          <w:b w:val="0"/>
          <w:sz w:val="22"/>
          <w:szCs w:val="22"/>
        </w:rPr>
        <w:t>In summary the main issues found in this review were:</w:t>
      </w:r>
    </w:p>
    <w:p w14:paraId="12DC9FC2" w14:textId="77777777" w:rsidR="007E5217" w:rsidRPr="00923587" w:rsidRDefault="007E5217" w:rsidP="00967EAC">
      <w:pPr>
        <w:spacing w:after="0" w:line="240" w:lineRule="auto"/>
        <w:rPr>
          <w:rFonts w:ascii="Aptos" w:hAnsi="Aptos" w:cstheme="minorHAnsi"/>
          <w:sz w:val="22"/>
        </w:rPr>
      </w:pPr>
    </w:p>
    <w:p w14:paraId="20B4110E" w14:textId="7F333474" w:rsidR="007E5217" w:rsidRPr="00923587" w:rsidRDefault="00967EAC" w:rsidP="007E5217">
      <w:pPr>
        <w:pStyle w:val="ListParagraph"/>
        <w:numPr>
          <w:ilvl w:val="0"/>
          <w:numId w:val="24"/>
        </w:numPr>
        <w:spacing w:line="240" w:lineRule="auto"/>
        <w:rPr>
          <w:rFonts w:ascii="Aptos" w:hAnsi="Aptos" w:cstheme="minorHAnsi"/>
          <w:sz w:val="22"/>
        </w:rPr>
      </w:pPr>
      <w:r w:rsidRPr="00923587">
        <w:rPr>
          <w:rFonts w:ascii="Aptos" w:hAnsi="Aptos" w:cstheme="minorHAnsi"/>
          <w:sz w:val="22"/>
        </w:rPr>
        <w:t xml:space="preserve">The importance of </w:t>
      </w:r>
      <w:r w:rsidR="00541914">
        <w:rPr>
          <w:rFonts w:ascii="Aptos" w:hAnsi="Aptos" w:cstheme="minorHAnsi"/>
          <w:sz w:val="22"/>
        </w:rPr>
        <w:t>thorough</w:t>
      </w:r>
      <w:r w:rsidRPr="00923587">
        <w:rPr>
          <w:rFonts w:ascii="Aptos" w:hAnsi="Aptos" w:cstheme="minorHAnsi"/>
          <w:sz w:val="22"/>
        </w:rPr>
        <w:t xml:space="preserve"> </w:t>
      </w:r>
      <w:r w:rsidR="00541914">
        <w:rPr>
          <w:rFonts w:ascii="Aptos" w:hAnsi="Aptos" w:cstheme="minorHAnsi"/>
          <w:sz w:val="22"/>
        </w:rPr>
        <w:t>pre and post birth assessment</w:t>
      </w:r>
      <w:r w:rsidR="001314F8" w:rsidRPr="00923587">
        <w:rPr>
          <w:rFonts w:ascii="Aptos" w:hAnsi="Aptos" w:cstheme="minorHAnsi"/>
          <w:sz w:val="22"/>
        </w:rPr>
        <w:t>,</w:t>
      </w:r>
      <w:r w:rsidRPr="00923587">
        <w:rPr>
          <w:rFonts w:ascii="Aptos" w:hAnsi="Aptos" w:cstheme="minorHAnsi"/>
          <w:sz w:val="22"/>
        </w:rPr>
        <w:t xml:space="preserve"> </w:t>
      </w:r>
      <w:r w:rsidR="00541914">
        <w:rPr>
          <w:rFonts w:ascii="Aptos" w:hAnsi="Aptos" w:cstheme="minorHAnsi"/>
          <w:sz w:val="22"/>
        </w:rPr>
        <w:t xml:space="preserve">including ongoing </w:t>
      </w:r>
      <w:r w:rsidRPr="00923587">
        <w:rPr>
          <w:rFonts w:ascii="Aptos" w:hAnsi="Aptos" w:cstheme="minorHAnsi"/>
          <w:sz w:val="22"/>
        </w:rPr>
        <w:t>risk assessment and safety planning</w:t>
      </w:r>
      <w:r w:rsidR="00B02772">
        <w:rPr>
          <w:rFonts w:ascii="Aptos" w:hAnsi="Aptos" w:cstheme="minorHAnsi"/>
          <w:sz w:val="22"/>
        </w:rPr>
        <w:t xml:space="preserve"> after the birth</w:t>
      </w:r>
    </w:p>
    <w:p w14:paraId="6F205653" w14:textId="1F720A0C" w:rsidR="007E5217" w:rsidRDefault="00967EAC" w:rsidP="007E5217">
      <w:pPr>
        <w:pStyle w:val="ListParagraph"/>
        <w:numPr>
          <w:ilvl w:val="0"/>
          <w:numId w:val="24"/>
        </w:numPr>
        <w:spacing w:line="240" w:lineRule="auto"/>
        <w:rPr>
          <w:rFonts w:ascii="Aptos" w:hAnsi="Aptos" w:cstheme="minorHAnsi"/>
          <w:sz w:val="22"/>
        </w:rPr>
      </w:pPr>
      <w:r w:rsidRPr="00923587">
        <w:rPr>
          <w:rFonts w:ascii="Aptos" w:hAnsi="Aptos" w:cstheme="minorHAnsi"/>
          <w:sz w:val="22"/>
        </w:rPr>
        <w:t xml:space="preserve">The importance of safe sleep advice to parents, </w:t>
      </w:r>
      <w:r w:rsidR="00541914">
        <w:rPr>
          <w:rFonts w:ascii="Aptos" w:hAnsi="Aptos" w:cstheme="minorHAnsi"/>
          <w:sz w:val="22"/>
        </w:rPr>
        <w:t>particularly where there is an</w:t>
      </w:r>
      <w:r w:rsidRPr="00923587">
        <w:rPr>
          <w:rFonts w:ascii="Aptos" w:hAnsi="Aptos" w:cstheme="minorHAnsi"/>
          <w:sz w:val="22"/>
        </w:rPr>
        <w:t xml:space="preserve"> increased risk </w:t>
      </w:r>
      <w:r w:rsidR="00541914">
        <w:rPr>
          <w:rFonts w:ascii="Aptos" w:hAnsi="Aptos" w:cstheme="minorHAnsi"/>
          <w:sz w:val="22"/>
        </w:rPr>
        <w:t>due to parental drug use</w:t>
      </w:r>
      <w:r w:rsidR="001314F8" w:rsidRPr="00923587">
        <w:rPr>
          <w:rFonts w:ascii="Aptos" w:hAnsi="Aptos" w:cstheme="minorHAnsi"/>
          <w:sz w:val="22"/>
        </w:rPr>
        <w:t xml:space="preserve">, </w:t>
      </w:r>
      <w:r w:rsidR="005E7501" w:rsidRPr="00923587">
        <w:rPr>
          <w:rFonts w:ascii="Aptos" w:hAnsi="Aptos" w:cstheme="minorHAnsi"/>
          <w:sz w:val="22"/>
        </w:rPr>
        <w:t xml:space="preserve">and </w:t>
      </w:r>
      <w:r w:rsidR="005E7501">
        <w:rPr>
          <w:rFonts w:ascii="Aptos" w:hAnsi="Aptos" w:cstheme="minorHAnsi"/>
          <w:sz w:val="22"/>
        </w:rPr>
        <w:t>when</w:t>
      </w:r>
      <w:r w:rsidR="00541914">
        <w:rPr>
          <w:rFonts w:ascii="Aptos" w:hAnsi="Aptos" w:cstheme="minorHAnsi"/>
          <w:sz w:val="22"/>
        </w:rPr>
        <w:t xml:space="preserve"> </w:t>
      </w:r>
      <w:r w:rsidR="00923587" w:rsidRPr="00923587">
        <w:rPr>
          <w:rFonts w:ascii="Aptos" w:hAnsi="Aptos" w:cstheme="minorHAnsi"/>
          <w:sz w:val="22"/>
        </w:rPr>
        <w:t xml:space="preserve">babies </w:t>
      </w:r>
      <w:r w:rsidR="00541914">
        <w:rPr>
          <w:rFonts w:ascii="Aptos" w:hAnsi="Aptos" w:cstheme="minorHAnsi"/>
          <w:sz w:val="22"/>
        </w:rPr>
        <w:t xml:space="preserve">are </w:t>
      </w:r>
      <w:r w:rsidR="00923587" w:rsidRPr="00923587">
        <w:rPr>
          <w:rFonts w:ascii="Aptos" w:hAnsi="Aptos" w:cstheme="minorHAnsi"/>
          <w:sz w:val="22"/>
        </w:rPr>
        <w:t xml:space="preserve">born </w:t>
      </w:r>
      <w:r w:rsidR="00541914">
        <w:rPr>
          <w:rFonts w:ascii="Aptos" w:hAnsi="Aptos" w:cstheme="minorHAnsi"/>
          <w:sz w:val="22"/>
        </w:rPr>
        <w:t>early and have a</w:t>
      </w:r>
      <w:r w:rsidR="00923587" w:rsidRPr="00923587">
        <w:rPr>
          <w:rFonts w:ascii="Aptos" w:hAnsi="Aptos" w:cstheme="minorHAnsi"/>
          <w:sz w:val="22"/>
        </w:rPr>
        <w:t xml:space="preserve"> low birth weight</w:t>
      </w:r>
    </w:p>
    <w:p w14:paraId="4C5808AD" w14:textId="494894FE" w:rsidR="00356FFF" w:rsidRPr="00923587" w:rsidRDefault="00356FFF" w:rsidP="056626B1">
      <w:pPr>
        <w:pStyle w:val="ListParagraph"/>
        <w:numPr>
          <w:ilvl w:val="0"/>
          <w:numId w:val="24"/>
        </w:numPr>
        <w:spacing w:line="240" w:lineRule="auto"/>
        <w:rPr>
          <w:rFonts w:ascii="Aptos" w:hAnsi="Aptos"/>
          <w:sz w:val="22"/>
        </w:rPr>
      </w:pPr>
      <w:r w:rsidRPr="056626B1">
        <w:rPr>
          <w:rFonts w:ascii="Aptos" w:hAnsi="Aptos"/>
          <w:sz w:val="22"/>
        </w:rPr>
        <w:t>The importan</w:t>
      </w:r>
      <w:r w:rsidR="000924A2" w:rsidRPr="056626B1">
        <w:rPr>
          <w:rFonts w:ascii="Aptos" w:hAnsi="Aptos"/>
          <w:sz w:val="22"/>
        </w:rPr>
        <w:t>ce</w:t>
      </w:r>
      <w:r w:rsidRPr="056626B1">
        <w:rPr>
          <w:rFonts w:ascii="Aptos" w:hAnsi="Aptos"/>
          <w:sz w:val="22"/>
        </w:rPr>
        <w:t xml:space="preserve"> of using experts within the partnership </w:t>
      </w:r>
      <w:r w:rsidR="00BF2171" w:rsidRPr="056626B1">
        <w:rPr>
          <w:rFonts w:ascii="Aptos" w:hAnsi="Aptos"/>
          <w:sz w:val="22"/>
        </w:rPr>
        <w:t>to</w:t>
      </w:r>
      <w:r w:rsidRPr="056626B1">
        <w:rPr>
          <w:rFonts w:ascii="Aptos" w:hAnsi="Aptos"/>
          <w:sz w:val="22"/>
        </w:rPr>
        <w:t xml:space="preserve"> support parent</w:t>
      </w:r>
      <w:r w:rsidR="00BF2171" w:rsidRPr="056626B1">
        <w:rPr>
          <w:rFonts w:ascii="Aptos" w:hAnsi="Aptos"/>
          <w:sz w:val="22"/>
        </w:rPr>
        <w:t>s</w:t>
      </w:r>
      <w:r w:rsidRPr="056626B1">
        <w:rPr>
          <w:rFonts w:ascii="Aptos" w:hAnsi="Aptos"/>
          <w:sz w:val="22"/>
        </w:rPr>
        <w:t xml:space="preserve"> with long term drug use and consider the impact this will have on parental capacity and risk</w:t>
      </w:r>
    </w:p>
    <w:p w14:paraId="68099C8C" w14:textId="0CE862AB" w:rsidR="00F326A9" w:rsidRPr="00923587" w:rsidRDefault="008B7C6C" w:rsidP="00967EAC">
      <w:pPr>
        <w:spacing w:after="0" w:line="240" w:lineRule="auto"/>
        <w:rPr>
          <w:rFonts w:ascii="Aptos" w:hAnsi="Aptos"/>
        </w:rPr>
      </w:pPr>
      <w:r w:rsidRPr="00923587">
        <w:rPr>
          <w:rFonts w:ascii="Aptos" w:eastAsia="Times New Roman" w:hAnsi="Aptos" w:cs="Arial"/>
          <w:noProof/>
          <w:szCs w:val="24"/>
          <w:lang w:eastAsia="en-GB"/>
        </w:rPr>
        <mc:AlternateContent>
          <mc:Choice Requires="wps">
            <w:drawing>
              <wp:anchor distT="0" distB="0" distL="114300" distR="114300" simplePos="0" relativeHeight="251658240" behindDoc="0" locked="0" layoutInCell="1" allowOverlap="1" wp14:anchorId="3213AD62" wp14:editId="7B0E7BD0">
                <wp:simplePos x="0" y="0"/>
                <wp:positionH relativeFrom="margin">
                  <wp:align>right</wp:align>
                </wp:positionH>
                <wp:positionV relativeFrom="paragraph">
                  <wp:posOffset>3580</wp:posOffset>
                </wp:positionV>
                <wp:extent cx="6625193" cy="1171575"/>
                <wp:effectExtent l="0" t="0" r="23495" b="28575"/>
                <wp:wrapNone/>
                <wp:docPr id="3" name="Flowchart: Alternate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5193" cy="1171575"/>
                        </a:xfrm>
                        <a:prstGeom prst="flowChartAlternateProcess">
                          <a:avLst/>
                        </a:prstGeom>
                        <a:solidFill>
                          <a:srgbClr val="2E9E83"/>
                        </a:solidFill>
                        <a:ln>
                          <a:solidFill>
                            <a:srgbClr val="2E9E83"/>
                          </a:solidFill>
                        </a:ln>
                      </wps:spPr>
                      <wps:style>
                        <a:lnRef idx="0">
                          <a:scrgbClr r="0" g="0" b="0"/>
                        </a:lnRef>
                        <a:fillRef idx="0">
                          <a:scrgbClr r="0" g="0" b="0"/>
                        </a:fillRef>
                        <a:effectRef idx="0">
                          <a:scrgbClr r="0" g="0" b="0"/>
                        </a:effectRef>
                        <a:fontRef idx="minor">
                          <a:schemeClr val="lt1"/>
                        </a:fontRef>
                      </wps:style>
                      <wps:txbx>
                        <w:txbxContent>
                          <w:p w14:paraId="62B7910A" w14:textId="6C68A694" w:rsidR="00FD78DC" w:rsidRPr="00473DD3" w:rsidRDefault="00FD78DC" w:rsidP="00FD78DC">
                            <w:pPr>
                              <w:spacing w:after="0" w:line="240" w:lineRule="auto"/>
                              <w:rPr>
                                <w:rFonts w:ascii="Aptos" w:hAnsi="Aptos" w:cstheme="minorHAnsi"/>
                                <w:b/>
                                <w:color w:val="FFFFFF" w:themeColor="background1"/>
                                <w:sz w:val="26"/>
                                <w:szCs w:val="26"/>
                              </w:rPr>
                            </w:pPr>
                            <w:r w:rsidRPr="00473DD3">
                              <w:rPr>
                                <w:rFonts w:ascii="Aptos" w:hAnsi="Aptos" w:cstheme="minorHAnsi"/>
                                <w:b/>
                                <w:color w:val="FFFFFF" w:themeColor="background1"/>
                                <w:sz w:val="26"/>
                                <w:szCs w:val="26"/>
                              </w:rPr>
                              <w:t>Themes in common with other Oxfordshire case reviews:</w:t>
                            </w:r>
                          </w:p>
                          <w:p w14:paraId="2FD9F1D3" w14:textId="113D656D" w:rsidR="00FD78DC" w:rsidRPr="00473DD3" w:rsidRDefault="008B7C6C" w:rsidP="008B7C6C">
                            <w:pPr>
                              <w:pStyle w:val="ListParagraph"/>
                              <w:numPr>
                                <w:ilvl w:val="0"/>
                                <w:numId w:val="27"/>
                              </w:numPr>
                              <w:rPr>
                                <w:rFonts w:ascii="Aptos" w:hAnsi="Aptos" w:cstheme="minorHAnsi"/>
                                <w:bCs/>
                                <w:color w:val="FFFFFF" w:themeColor="background1"/>
                                <w:sz w:val="22"/>
                              </w:rPr>
                            </w:pPr>
                            <w:r w:rsidRPr="00473DD3">
                              <w:rPr>
                                <w:rFonts w:ascii="Aptos" w:hAnsi="Aptos" w:cstheme="minorHAnsi"/>
                                <w:bCs/>
                                <w:color w:val="FFFFFF" w:themeColor="background1"/>
                                <w:sz w:val="22"/>
                              </w:rPr>
                              <w:t xml:space="preserve">The need for a robust and detailed pre-birth assessment, supported by multi-agency partners to ensure all contingencies are considered both prior to and post birth  </w:t>
                            </w:r>
                          </w:p>
                          <w:p w14:paraId="25670849" w14:textId="2173F9B8" w:rsidR="004624C8" w:rsidRPr="00473DD3" w:rsidRDefault="008B7C6C" w:rsidP="008B7C6C">
                            <w:pPr>
                              <w:pStyle w:val="ListParagraph"/>
                              <w:numPr>
                                <w:ilvl w:val="0"/>
                                <w:numId w:val="27"/>
                              </w:numPr>
                              <w:rPr>
                                <w:rFonts w:ascii="Aptos" w:hAnsi="Aptos" w:cstheme="minorHAnsi"/>
                                <w:bCs/>
                                <w:color w:val="FFFFFF" w:themeColor="background1"/>
                                <w:sz w:val="22"/>
                              </w:rPr>
                            </w:pPr>
                            <w:r w:rsidRPr="00473DD3">
                              <w:rPr>
                                <w:rFonts w:ascii="Aptos" w:hAnsi="Aptos" w:cstheme="minorHAnsi"/>
                                <w:bCs/>
                                <w:color w:val="FFFFFF" w:themeColor="background1"/>
                                <w:sz w:val="22"/>
                              </w:rPr>
                              <w:t>Understanding of the needs</w:t>
                            </w:r>
                            <w:r w:rsidR="004624C8" w:rsidRPr="00473DD3">
                              <w:rPr>
                                <w:rFonts w:ascii="Aptos" w:hAnsi="Aptos" w:cstheme="minorHAnsi"/>
                                <w:bCs/>
                                <w:color w:val="FFFFFF" w:themeColor="background1"/>
                                <w:sz w:val="22"/>
                              </w:rPr>
                              <w:t xml:space="preserve"> and behaviours </w:t>
                            </w:r>
                            <w:r w:rsidRPr="00473DD3">
                              <w:rPr>
                                <w:rFonts w:ascii="Aptos" w:hAnsi="Aptos" w:cstheme="minorHAnsi"/>
                                <w:bCs/>
                                <w:color w:val="FFFFFF" w:themeColor="background1"/>
                                <w:sz w:val="22"/>
                              </w:rPr>
                              <w:t>of the father</w:t>
                            </w:r>
                          </w:p>
                          <w:p w14:paraId="7E01B08E" w14:textId="5E953617" w:rsidR="008B7C6C" w:rsidRPr="00473DD3" w:rsidRDefault="008B7C6C" w:rsidP="008B7C6C">
                            <w:pPr>
                              <w:pStyle w:val="ListParagraph"/>
                              <w:numPr>
                                <w:ilvl w:val="0"/>
                                <w:numId w:val="27"/>
                              </w:numPr>
                              <w:rPr>
                                <w:rFonts w:ascii="Aptos" w:hAnsi="Aptos" w:cstheme="minorHAnsi"/>
                                <w:bCs/>
                                <w:color w:val="FFFFFF" w:themeColor="background1"/>
                                <w:sz w:val="22"/>
                              </w:rPr>
                            </w:pPr>
                            <w:r w:rsidRPr="00473DD3">
                              <w:rPr>
                                <w:rFonts w:ascii="Aptos" w:hAnsi="Aptos" w:cstheme="minorHAnsi"/>
                                <w:bCs/>
                                <w:color w:val="FFFFFF" w:themeColor="background1"/>
                                <w:sz w:val="22"/>
                              </w:rPr>
                              <w:t xml:space="preserve"> </w:t>
                            </w:r>
                            <w:r w:rsidR="004624C8" w:rsidRPr="00473DD3">
                              <w:rPr>
                                <w:rFonts w:ascii="Aptos" w:hAnsi="Aptos" w:cstheme="minorHAnsi"/>
                                <w:bCs/>
                                <w:color w:val="FFFFFF" w:themeColor="background1"/>
                                <w:sz w:val="22"/>
                              </w:rPr>
                              <w:t>Not making assumptions</w:t>
                            </w:r>
                            <w:r w:rsidR="00CE5022" w:rsidRPr="00473DD3">
                              <w:rPr>
                                <w:rFonts w:ascii="Aptos" w:hAnsi="Aptos" w:cstheme="minorHAnsi"/>
                                <w:bCs/>
                                <w:color w:val="FFFFFF" w:themeColor="background1"/>
                                <w:sz w:val="22"/>
                              </w:rPr>
                              <w:t xml:space="preserve"> about families or other </w:t>
                            </w:r>
                            <w:r w:rsidR="00737B28" w:rsidRPr="00473DD3">
                              <w:rPr>
                                <w:rFonts w:ascii="Aptos" w:hAnsi="Aptos" w:cstheme="minorHAnsi"/>
                                <w:bCs/>
                                <w:color w:val="FFFFFF" w:themeColor="background1"/>
                                <w:sz w:val="22"/>
                              </w:rPr>
                              <w:t>professional’s</w:t>
                            </w:r>
                            <w:r w:rsidR="00CE5022" w:rsidRPr="00473DD3">
                              <w:rPr>
                                <w:rFonts w:ascii="Aptos" w:hAnsi="Aptos" w:cstheme="minorHAnsi"/>
                                <w:bCs/>
                                <w:color w:val="FFFFFF" w:themeColor="background1"/>
                                <w:sz w:val="22"/>
                              </w:rPr>
                              <w:t xml:space="preserve"> actions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3213AD6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 o:spid="_x0000_s1026" type="#_x0000_t176" style="position:absolute;margin-left:470.45pt;margin-top:.3pt;width:521.65pt;height:92.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" fillcolor="#2e9e83" strokecolor="#2e9e83">
                <v:textbox>
                  <w:txbxContent>
                    <w:p w14:paraId="62B7910A" w14:textId="6C68A694" w:rsidR="00FD78DC" w:rsidRPr="00473DD3" w:rsidRDefault="00FD78DC" w:rsidP="00FD78DC">
                      <w:pPr>
                        <w:spacing w:after="0" w:line="240" w:lineRule="auto"/>
                        <w:rPr>
                          <w:rFonts w:ascii="Aptos" w:hAnsi="Aptos" w:cstheme="minorHAnsi"/>
                          <w:b/>
                          <w:color w:val="FFFFFF" w:themeColor="background1"/>
                          <w:sz w:val="26"/>
                          <w:szCs w:val="26"/>
                        </w:rPr>
                      </w:pPr>
                      <w:r w:rsidRPr="00473DD3">
                        <w:rPr>
                          <w:rFonts w:ascii="Aptos" w:hAnsi="Aptos" w:cstheme="minorHAnsi"/>
                          <w:b/>
                          <w:color w:val="FFFFFF" w:themeColor="background1"/>
                          <w:sz w:val="26"/>
                          <w:szCs w:val="26"/>
                        </w:rPr>
                        <w:t>Themes in common with other Oxfordshire case reviews:</w:t>
                      </w:r>
                    </w:p>
                    <w:p w14:paraId="2FD9F1D3" w14:textId="113D656D" w:rsidR="00FD78DC" w:rsidRPr="00473DD3" w:rsidRDefault="008B7C6C" w:rsidP="008B7C6C">
                      <w:pPr>
                        <w:pStyle w:val="ListParagraph"/>
                        <w:numPr>
                          <w:ilvl w:val="0"/>
                          <w:numId w:val="27"/>
                        </w:numPr>
                        <w:rPr>
                          <w:rFonts w:ascii="Aptos" w:hAnsi="Aptos" w:cstheme="minorHAnsi"/>
                          <w:bCs/>
                          <w:color w:val="FFFFFF" w:themeColor="background1"/>
                          <w:sz w:val="22"/>
                        </w:rPr>
                      </w:pPr>
                      <w:r w:rsidRPr="00473DD3">
                        <w:rPr>
                          <w:rFonts w:ascii="Aptos" w:hAnsi="Aptos" w:cstheme="minorHAnsi"/>
                          <w:bCs/>
                          <w:color w:val="FFFFFF" w:themeColor="background1"/>
                          <w:sz w:val="22"/>
                        </w:rPr>
                        <w:t xml:space="preserve">The need for a robust and detailed pre-birth assessment, supported by multi-agency partners to ensure all contingencies are considered both prior to and post birth  </w:t>
                      </w:r>
                    </w:p>
                    <w:p w14:paraId="25670849" w14:textId="2173F9B8" w:rsidR="004624C8" w:rsidRPr="00473DD3" w:rsidRDefault="008B7C6C" w:rsidP="008B7C6C">
                      <w:pPr>
                        <w:pStyle w:val="ListParagraph"/>
                        <w:numPr>
                          <w:ilvl w:val="0"/>
                          <w:numId w:val="27"/>
                        </w:numPr>
                        <w:rPr>
                          <w:rFonts w:ascii="Aptos" w:hAnsi="Aptos" w:cstheme="minorHAnsi"/>
                          <w:bCs/>
                          <w:color w:val="FFFFFF" w:themeColor="background1"/>
                          <w:sz w:val="22"/>
                        </w:rPr>
                      </w:pPr>
                      <w:r w:rsidRPr="00473DD3">
                        <w:rPr>
                          <w:rFonts w:ascii="Aptos" w:hAnsi="Aptos" w:cstheme="minorHAnsi"/>
                          <w:bCs/>
                          <w:color w:val="FFFFFF" w:themeColor="background1"/>
                          <w:sz w:val="22"/>
                        </w:rPr>
                        <w:t>Understanding of the needs</w:t>
                      </w:r>
                      <w:r w:rsidR="004624C8" w:rsidRPr="00473DD3">
                        <w:rPr>
                          <w:rFonts w:ascii="Aptos" w:hAnsi="Aptos" w:cstheme="minorHAnsi"/>
                          <w:bCs/>
                          <w:color w:val="FFFFFF" w:themeColor="background1"/>
                          <w:sz w:val="22"/>
                        </w:rPr>
                        <w:t xml:space="preserve"> and behaviours </w:t>
                      </w:r>
                      <w:r w:rsidRPr="00473DD3">
                        <w:rPr>
                          <w:rFonts w:ascii="Aptos" w:hAnsi="Aptos" w:cstheme="minorHAnsi"/>
                          <w:bCs/>
                          <w:color w:val="FFFFFF" w:themeColor="background1"/>
                          <w:sz w:val="22"/>
                        </w:rPr>
                        <w:t>of the father</w:t>
                      </w:r>
                    </w:p>
                    <w:p w14:paraId="7E01B08E" w14:textId="5E953617" w:rsidR="008B7C6C" w:rsidRPr="00473DD3" w:rsidRDefault="008B7C6C" w:rsidP="008B7C6C">
                      <w:pPr>
                        <w:pStyle w:val="ListParagraph"/>
                        <w:numPr>
                          <w:ilvl w:val="0"/>
                          <w:numId w:val="27"/>
                        </w:numPr>
                        <w:rPr>
                          <w:rFonts w:ascii="Aptos" w:hAnsi="Aptos" w:cstheme="minorHAnsi"/>
                          <w:bCs/>
                          <w:color w:val="FFFFFF" w:themeColor="background1"/>
                          <w:sz w:val="22"/>
                        </w:rPr>
                      </w:pPr>
                      <w:r w:rsidRPr="00473DD3">
                        <w:rPr>
                          <w:rFonts w:ascii="Aptos" w:hAnsi="Aptos" w:cstheme="minorHAnsi"/>
                          <w:bCs/>
                          <w:color w:val="FFFFFF" w:themeColor="background1"/>
                          <w:sz w:val="22"/>
                        </w:rPr>
                        <w:t xml:space="preserve"> </w:t>
                      </w:r>
                      <w:r w:rsidR="004624C8" w:rsidRPr="00473DD3">
                        <w:rPr>
                          <w:rFonts w:ascii="Aptos" w:hAnsi="Aptos" w:cstheme="minorHAnsi"/>
                          <w:bCs/>
                          <w:color w:val="FFFFFF" w:themeColor="background1"/>
                          <w:sz w:val="22"/>
                        </w:rPr>
                        <w:t>Not making assumptions</w:t>
                      </w:r>
                      <w:r w:rsidR="00CE5022" w:rsidRPr="00473DD3">
                        <w:rPr>
                          <w:rFonts w:ascii="Aptos" w:hAnsi="Aptos" w:cstheme="minorHAnsi"/>
                          <w:bCs/>
                          <w:color w:val="FFFFFF" w:themeColor="background1"/>
                          <w:sz w:val="22"/>
                        </w:rPr>
                        <w:t xml:space="preserve"> about families or other </w:t>
                      </w:r>
                      <w:r w:rsidR="00737B28" w:rsidRPr="00473DD3">
                        <w:rPr>
                          <w:rFonts w:ascii="Aptos" w:hAnsi="Aptos" w:cstheme="minorHAnsi"/>
                          <w:bCs/>
                          <w:color w:val="FFFFFF" w:themeColor="background1"/>
                          <w:sz w:val="22"/>
                        </w:rPr>
                        <w:t>professional’s</w:t>
                      </w:r>
                      <w:r w:rsidR="00CE5022" w:rsidRPr="00473DD3">
                        <w:rPr>
                          <w:rFonts w:ascii="Aptos" w:hAnsi="Aptos" w:cstheme="minorHAnsi"/>
                          <w:bCs/>
                          <w:color w:val="FFFFFF" w:themeColor="background1"/>
                          <w:sz w:val="22"/>
                        </w:rPr>
                        <w:t xml:space="preserve"> actions</w:t>
                      </w:r>
                    </w:p>
                  </w:txbxContent>
                </v:textbox>
                <w10:wrap anchorx="margin"/>
              </v:shape>
            </w:pict>
          </mc:Fallback>
        </mc:AlternateContent>
      </w:r>
    </w:p>
    <w:p w14:paraId="2B1F1C7B" w14:textId="10DBF772" w:rsidR="00F326A9" w:rsidRPr="00923587" w:rsidRDefault="00F326A9" w:rsidP="00F326A9">
      <w:pPr>
        <w:rPr>
          <w:rFonts w:ascii="Aptos" w:hAnsi="Aptos"/>
        </w:rPr>
      </w:pPr>
    </w:p>
    <w:p w14:paraId="0F6667E3" w14:textId="090FAD87" w:rsidR="00E01D41" w:rsidRPr="00923587" w:rsidRDefault="00E01D41" w:rsidP="00E01D41">
      <w:pPr>
        <w:spacing w:after="0" w:line="240" w:lineRule="auto"/>
        <w:rPr>
          <w:rFonts w:ascii="Aptos" w:hAnsi="Aptos"/>
        </w:rPr>
      </w:pPr>
    </w:p>
    <w:p w14:paraId="3980C725" w14:textId="6CB9806F" w:rsidR="005964DC" w:rsidRPr="00923587" w:rsidRDefault="005964DC" w:rsidP="00E01D41">
      <w:pPr>
        <w:spacing w:after="0" w:line="240" w:lineRule="auto"/>
        <w:rPr>
          <w:rFonts w:ascii="Aptos" w:hAnsi="Aptos"/>
        </w:rPr>
      </w:pPr>
    </w:p>
    <w:p w14:paraId="2381089A" w14:textId="2833D38A" w:rsidR="005964DC" w:rsidRPr="00923587" w:rsidRDefault="005964DC" w:rsidP="00E01D41">
      <w:pPr>
        <w:spacing w:after="0" w:line="240" w:lineRule="auto"/>
        <w:rPr>
          <w:rFonts w:ascii="Aptos" w:hAnsi="Aptos"/>
        </w:rPr>
      </w:pPr>
    </w:p>
    <w:p w14:paraId="67471592" w14:textId="2D1363F9" w:rsidR="005964DC" w:rsidRPr="00923587" w:rsidRDefault="005964DC" w:rsidP="00E01D41">
      <w:pPr>
        <w:spacing w:after="0" w:line="240" w:lineRule="auto"/>
        <w:rPr>
          <w:rFonts w:ascii="Aptos" w:hAnsi="Aptos"/>
        </w:rPr>
      </w:pPr>
    </w:p>
    <w:p w14:paraId="3A70FC8C" w14:textId="2AB750B7" w:rsidR="0021518F" w:rsidRPr="00923587" w:rsidRDefault="005322AC" w:rsidP="0021518F">
      <w:pPr>
        <w:spacing w:line="240" w:lineRule="auto"/>
        <w:rPr>
          <w:rFonts w:ascii="Aptos" w:hAnsi="Aptos" w:cstheme="minorHAnsi"/>
          <w:b/>
          <w:sz w:val="22"/>
        </w:rPr>
      </w:pPr>
      <w:r w:rsidRPr="00923587">
        <w:rPr>
          <w:rFonts w:ascii="Aptos" w:hAnsi="Aptos" w:cstheme="minorHAnsi"/>
          <w:b/>
          <w:szCs w:val="24"/>
        </w:rPr>
        <w:t xml:space="preserve">Themes in common with </w:t>
      </w:r>
      <w:r w:rsidR="005C359E" w:rsidRPr="00923587">
        <w:rPr>
          <w:rFonts w:ascii="Aptos" w:hAnsi="Aptos" w:cstheme="minorHAnsi"/>
          <w:b/>
          <w:szCs w:val="24"/>
        </w:rPr>
        <w:t>national</w:t>
      </w:r>
      <w:r w:rsidRPr="00923587">
        <w:rPr>
          <w:rFonts w:ascii="Aptos" w:hAnsi="Aptos" w:cstheme="minorHAnsi"/>
          <w:b/>
          <w:szCs w:val="24"/>
        </w:rPr>
        <w:t xml:space="preserve"> reviews</w:t>
      </w:r>
    </w:p>
    <w:p w14:paraId="02847335" w14:textId="77777777" w:rsidR="00E56121" w:rsidRPr="00E56121" w:rsidRDefault="00E56121" w:rsidP="00E56121">
      <w:pPr>
        <w:pStyle w:val="ListParagraph"/>
        <w:numPr>
          <w:ilvl w:val="0"/>
          <w:numId w:val="25"/>
        </w:numPr>
        <w:spacing w:line="240" w:lineRule="auto"/>
        <w:rPr>
          <w:rFonts w:ascii="Aptos" w:hAnsi="Aptos" w:cstheme="minorHAnsi"/>
          <w:bCs/>
          <w:sz w:val="22"/>
        </w:rPr>
      </w:pPr>
      <w:r w:rsidRPr="00E56121">
        <w:rPr>
          <w:rFonts w:ascii="Aptos" w:hAnsi="Aptos" w:cstheme="minorHAnsi"/>
          <w:bCs/>
          <w:sz w:val="22"/>
        </w:rPr>
        <w:t>Assessing risks and providing support for the whole family</w:t>
      </w:r>
    </w:p>
    <w:p w14:paraId="09B03257" w14:textId="15EE5258" w:rsidR="00967EAC" w:rsidRDefault="00967EAC" w:rsidP="00967EAC">
      <w:pPr>
        <w:pStyle w:val="ListParagraph"/>
        <w:numPr>
          <w:ilvl w:val="0"/>
          <w:numId w:val="25"/>
        </w:numPr>
        <w:spacing w:line="240" w:lineRule="auto"/>
        <w:rPr>
          <w:rFonts w:ascii="Aptos" w:hAnsi="Aptos" w:cstheme="minorHAnsi"/>
          <w:bCs/>
          <w:sz w:val="22"/>
        </w:rPr>
      </w:pPr>
      <w:r w:rsidRPr="00923587">
        <w:rPr>
          <w:rFonts w:ascii="Aptos" w:hAnsi="Aptos" w:cstheme="minorHAnsi"/>
          <w:bCs/>
          <w:sz w:val="22"/>
        </w:rPr>
        <w:t>Recognising and responding to the vulnerabilities of babies</w:t>
      </w:r>
    </w:p>
    <w:p w14:paraId="7E18BF38" w14:textId="77777777" w:rsidR="00B11EF0" w:rsidRPr="00B11EF0" w:rsidRDefault="00CE5022" w:rsidP="00E04F14">
      <w:pPr>
        <w:pStyle w:val="ListParagraph"/>
        <w:numPr>
          <w:ilvl w:val="0"/>
          <w:numId w:val="25"/>
        </w:numPr>
        <w:spacing w:line="240" w:lineRule="auto"/>
        <w:rPr>
          <w:rFonts w:ascii="Aptos" w:hAnsi="Aptos" w:cstheme="minorHAnsi"/>
          <w:bCs/>
          <w:sz w:val="22"/>
        </w:rPr>
      </w:pPr>
      <w:r w:rsidRPr="00B11EF0">
        <w:rPr>
          <w:rFonts w:ascii="Aptos" w:hAnsi="Aptos" w:cstheme="minorHAnsi"/>
          <w:bCs/>
          <w:sz w:val="22"/>
        </w:rPr>
        <w:t>Understanding the roles of fathers/male carers and other extended family members in family functioning</w:t>
      </w:r>
    </w:p>
    <w:p w14:paraId="2E899763" w14:textId="74C9D5B7" w:rsidR="00E04F14" w:rsidRPr="00923587" w:rsidRDefault="00E04F14" w:rsidP="00E04F14">
      <w:pPr>
        <w:spacing w:line="240" w:lineRule="auto"/>
        <w:rPr>
          <w:rFonts w:ascii="Aptos" w:hAnsi="Aptos" w:cstheme="minorHAnsi"/>
          <w:b/>
          <w:bCs/>
          <w:szCs w:val="24"/>
        </w:rPr>
      </w:pPr>
      <w:r w:rsidRPr="00923587">
        <w:rPr>
          <w:rFonts w:ascii="Aptos" w:hAnsi="Aptos" w:cstheme="minorHAnsi"/>
          <w:b/>
          <w:bCs/>
          <w:szCs w:val="24"/>
        </w:rPr>
        <w:t>Strengths in practice</w:t>
      </w:r>
    </w:p>
    <w:p w14:paraId="59BEDED4" w14:textId="7806322C" w:rsidR="00967EAC" w:rsidRPr="00923587" w:rsidRDefault="00515F28" w:rsidP="00967EAC">
      <w:pPr>
        <w:pStyle w:val="ListParagraph"/>
        <w:numPr>
          <w:ilvl w:val="0"/>
          <w:numId w:val="26"/>
        </w:numPr>
        <w:spacing w:line="240" w:lineRule="auto"/>
        <w:rPr>
          <w:rFonts w:ascii="Aptos" w:hAnsi="Aptos" w:cstheme="minorHAnsi"/>
          <w:sz w:val="22"/>
        </w:rPr>
      </w:pPr>
      <w:r w:rsidRPr="00515F28">
        <w:rPr>
          <w:rFonts w:ascii="Aptos" w:hAnsi="Aptos" w:cstheme="minorHAnsi"/>
          <w:sz w:val="22"/>
        </w:rPr>
        <w:t>Professionals worked hard to involve both parents in planning before the baby was born</w:t>
      </w:r>
    </w:p>
    <w:p w14:paraId="54EB4C10" w14:textId="3BE457CF" w:rsidR="00967EAC" w:rsidRPr="00923587" w:rsidRDefault="00515F28" w:rsidP="00967EAC">
      <w:pPr>
        <w:pStyle w:val="ListParagraph"/>
        <w:numPr>
          <w:ilvl w:val="0"/>
          <w:numId w:val="26"/>
        </w:numPr>
        <w:spacing w:line="240" w:lineRule="auto"/>
        <w:rPr>
          <w:rFonts w:ascii="Aptos" w:hAnsi="Aptos" w:cstheme="minorHAnsi"/>
          <w:sz w:val="22"/>
        </w:rPr>
      </w:pPr>
      <w:r>
        <w:rPr>
          <w:rFonts w:ascii="Aptos" w:hAnsi="Aptos" w:cstheme="minorHAnsi"/>
          <w:sz w:val="22"/>
        </w:rPr>
        <w:t>A</w:t>
      </w:r>
      <w:r w:rsidRPr="00515F28">
        <w:rPr>
          <w:rFonts w:ascii="Aptos" w:hAnsi="Aptos" w:cstheme="minorHAnsi"/>
          <w:sz w:val="22"/>
        </w:rPr>
        <w:t xml:space="preserve">gencies worked well together, </w:t>
      </w:r>
      <w:r>
        <w:rPr>
          <w:rFonts w:ascii="Aptos" w:hAnsi="Aptos" w:cstheme="minorHAnsi"/>
          <w:sz w:val="22"/>
        </w:rPr>
        <w:t xml:space="preserve">there was good communication and </w:t>
      </w:r>
      <w:r w:rsidRPr="00515F28">
        <w:rPr>
          <w:rFonts w:ascii="Aptos" w:hAnsi="Aptos" w:cstheme="minorHAnsi"/>
          <w:sz w:val="22"/>
        </w:rPr>
        <w:t xml:space="preserve">information </w:t>
      </w:r>
      <w:r>
        <w:rPr>
          <w:rFonts w:ascii="Aptos" w:hAnsi="Aptos" w:cstheme="minorHAnsi"/>
          <w:sz w:val="22"/>
        </w:rPr>
        <w:t xml:space="preserve">sharing </w:t>
      </w:r>
      <w:r w:rsidRPr="00515F28">
        <w:rPr>
          <w:rFonts w:ascii="Aptos" w:hAnsi="Aptos" w:cstheme="minorHAnsi"/>
          <w:sz w:val="22"/>
        </w:rPr>
        <w:t>early on</w:t>
      </w:r>
    </w:p>
    <w:p w14:paraId="6577FEFF" w14:textId="6D66F8F9" w:rsidR="00967EAC" w:rsidRPr="00923587" w:rsidRDefault="00515F28" w:rsidP="00967EAC">
      <w:pPr>
        <w:pStyle w:val="ListParagraph"/>
        <w:numPr>
          <w:ilvl w:val="0"/>
          <w:numId w:val="26"/>
        </w:numPr>
        <w:spacing w:line="240" w:lineRule="auto"/>
        <w:rPr>
          <w:rFonts w:ascii="Aptos" w:hAnsi="Aptos" w:cstheme="minorHAnsi"/>
          <w:sz w:val="22"/>
        </w:rPr>
      </w:pPr>
      <w:r w:rsidRPr="00515F28">
        <w:rPr>
          <w:rFonts w:ascii="Aptos" w:hAnsi="Aptos" w:cstheme="minorHAnsi"/>
          <w:sz w:val="22"/>
        </w:rPr>
        <w:t>There was a clear focus on the risks to the unborn baby, leading to timely assessments and plannin</w:t>
      </w:r>
      <w:r>
        <w:rPr>
          <w:rFonts w:ascii="Aptos" w:hAnsi="Aptos" w:cstheme="minorHAnsi"/>
          <w:sz w:val="22"/>
        </w:rPr>
        <w:t>g</w:t>
      </w:r>
      <w:r w:rsidR="00B02772">
        <w:rPr>
          <w:rFonts w:ascii="Aptos" w:hAnsi="Aptos" w:cstheme="minorHAnsi"/>
          <w:sz w:val="22"/>
        </w:rPr>
        <w:t xml:space="preserve"> during pregnancy</w:t>
      </w:r>
      <w:r w:rsidR="00967EAC" w:rsidRPr="00923587">
        <w:rPr>
          <w:rFonts w:ascii="Aptos" w:hAnsi="Aptos" w:cstheme="minorHAnsi"/>
          <w:sz w:val="22"/>
        </w:rPr>
        <w:t>, including the consideration of historical concerns</w:t>
      </w:r>
    </w:p>
    <w:p w14:paraId="346E0613" w14:textId="743DC9D3" w:rsidR="00967EAC" w:rsidRPr="00923587" w:rsidRDefault="00515F28" w:rsidP="00967EAC">
      <w:pPr>
        <w:pStyle w:val="ListParagraph"/>
        <w:numPr>
          <w:ilvl w:val="0"/>
          <w:numId w:val="26"/>
        </w:numPr>
        <w:spacing w:line="240" w:lineRule="auto"/>
        <w:rPr>
          <w:rFonts w:ascii="Aptos" w:hAnsi="Aptos" w:cstheme="minorHAnsi"/>
          <w:sz w:val="22"/>
        </w:rPr>
      </w:pPr>
      <w:r>
        <w:rPr>
          <w:rFonts w:ascii="Aptos" w:hAnsi="Aptos" w:cstheme="minorHAnsi"/>
          <w:sz w:val="22"/>
        </w:rPr>
        <w:t xml:space="preserve">There was a shared </w:t>
      </w:r>
      <w:r w:rsidR="00967EAC" w:rsidRPr="00923587">
        <w:rPr>
          <w:rFonts w:ascii="Aptos" w:hAnsi="Aptos" w:cstheme="minorHAnsi"/>
          <w:sz w:val="22"/>
        </w:rPr>
        <w:t xml:space="preserve">understanding of parental capacity </w:t>
      </w:r>
      <w:r w:rsidRPr="00515F28">
        <w:rPr>
          <w:rFonts w:ascii="Aptos" w:hAnsi="Aptos" w:cstheme="minorHAnsi"/>
          <w:sz w:val="22"/>
        </w:rPr>
        <w:t xml:space="preserve">and </w:t>
      </w:r>
      <w:r>
        <w:rPr>
          <w:rFonts w:ascii="Aptos" w:hAnsi="Aptos" w:cstheme="minorHAnsi"/>
          <w:sz w:val="22"/>
        </w:rPr>
        <w:t xml:space="preserve">agencies involved </w:t>
      </w:r>
      <w:r w:rsidRPr="00515F28">
        <w:rPr>
          <w:rFonts w:ascii="Aptos" w:hAnsi="Aptos" w:cstheme="minorHAnsi"/>
          <w:sz w:val="22"/>
        </w:rPr>
        <w:t>made regular visits, including weekends, with support from drug and alcohol services</w:t>
      </w:r>
    </w:p>
    <w:p w14:paraId="15863695" w14:textId="52EED701" w:rsidR="00967EAC" w:rsidRPr="00923587" w:rsidRDefault="00515F28" w:rsidP="00967EAC">
      <w:pPr>
        <w:pStyle w:val="ListParagraph"/>
        <w:numPr>
          <w:ilvl w:val="0"/>
          <w:numId w:val="26"/>
        </w:numPr>
        <w:spacing w:line="240" w:lineRule="auto"/>
        <w:rPr>
          <w:rFonts w:ascii="Aptos" w:hAnsi="Aptos" w:cstheme="minorHAnsi"/>
          <w:sz w:val="22"/>
        </w:rPr>
      </w:pPr>
      <w:r w:rsidRPr="00515F28">
        <w:rPr>
          <w:rFonts w:ascii="Aptos" w:hAnsi="Aptos" w:cstheme="minorHAnsi"/>
          <w:sz w:val="22"/>
        </w:rPr>
        <w:t xml:space="preserve">Communication with both parents was clear about concerns for their unborn baby, based on their current drug use and mother’s history </w:t>
      </w:r>
    </w:p>
    <w:p w14:paraId="09EE6A1E" w14:textId="7F73A7B6" w:rsidR="008B7C6C" w:rsidRDefault="00515F28" w:rsidP="00967EAC">
      <w:pPr>
        <w:pStyle w:val="ListParagraph"/>
        <w:numPr>
          <w:ilvl w:val="0"/>
          <w:numId w:val="26"/>
        </w:numPr>
        <w:spacing w:line="240" w:lineRule="auto"/>
        <w:rPr>
          <w:rFonts w:ascii="Aptos" w:hAnsi="Aptos" w:cstheme="minorHAnsi"/>
          <w:sz w:val="22"/>
        </w:rPr>
      </w:pPr>
      <w:r>
        <w:rPr>
          <w:rFonts w:ascii="Aptos" w:hAnsi="Aptos" w:cstheme="minorHAnsi"/>
          <w:sz w:val="22"/>
        </w:rPr>
        <w:t>T</w:t>
      </w:r>
      <w:r w:rsidR="008B7C6C" w:rsidRPr="00923587">
        <w:rPr>
          <w:rFonts w:ascii="Aptos" w:hAnsi="Aptos" w:cstheme="minorHAnsi"/>
          <w:sz w:val="22"/>
        </w:rPr>
        <w:t xml:space="preserve">he child protection plan </w:t>
      </w:r>
      <w:r>
        <w:rPr>
          <w:rFonts w:ascii="Aptos" w:hAnsi="Aptos" w:cstheme="minorHAnsi"/>
          <w:sz w:val="22"/>
        </w:rPr>
        <w:t xml:space="preserve">showed that </w:t>
      </w:r>
      <w:r w:rsidR="008B7C6C" w:rsidRPr="00923587">
        <w:rPr>
          <w:rFonts w:ascii="Aptos" w:hAnsi="Aptos" w:cstheme="minorHAnsi"/>
          <w:sz w:val="22"/>
        </w:rPr>
        <w:t xml:space="preserve">multi-agency professionals had a good understanding of what was going on for the family and </w:t>
      </w:r>
      <w:r>
        <w:rPr>
          <w:rFonts w:ascii="Aptos" w:hAnsi="Aptos" w:cstheme="minorHAnsi"/>
          <w:sz w:val="22"/>
        </w:rPr>
        <w:t xml:space="preserve">there were good </w:t>
      </w:r>
      <w:r w:rsidR="008B7C6C" w:rsidRPr="00923587">
        <w:rPr>
          <w:rFonts w:ascii="Aptos" w:hAnsi="Aptos" w:cstheme="minorHAnsi"/>
          <w:sz w:val="22"/>
        </w:rPr>
        <w:t>examples of professional curiosity</w:t>
      </w:r>
    </w:p>
    <w:p w14:paraId="347669BC" w14:textId="48065F7D" w:rsidR="00137C82" w:rsidRPr="00923587" w:rsidRDefault="00BF2171" w:rsidP="00967EAC">
      <w:pPr>
        <w:pStyle w:val="ListParagraph"/>
        <w:numPr>
          <w:ilvl w:val="0"/>
          <w:numId w:val="26"/>
        </w:numPr>
        <w:spacing w:line="240" w:lineRule="auto"/>
        <w:rPr>
          <w:rFonts w:ascii="Aptos" w:hAnsi="Aptos" w:cstheme="minorHAnsi"/>
          <w:sz w:val="22"/>
        </w:rPr>
      </w:pPr>
      <w:r>
        <w:rPr>
          <w:rFonts w:ascii="Aptos" w:hAnsi="Aptos" w:cstheme="minorHAnsi"/>
          <w:sz w:val="22"/>
        </w:rPr>
        <w:t>The i</w:t>
      </w:r>
      <w:r w:rsidR="00137C82">
        <w:rPr>
          <w:rFonts w:ascii="Aptos" w:hAnsi="Aptos" w:cstheme="minorHAnsi"/>
          <w:sz w:val="22"/>
        </w:rPr>
        <w:t xml:space="preserve">nvolvement of drug and alcohol </w:t>
      </w:r>
      <w:r>
        <w:rPr>
          <w:rFonts w:ascii="Aptos" w:hAnsi="Aptos" w:cstheme="minorHAnsi"/>
          <w:sz w:val="22"/>
        </w:rPr>
        <w:t xml:space="preserve">service </w:t>
      </w:r>
      <w:r w:rsidR="00137C82">
        <w:rPr>
          <w:rFonts w:ascii="Aptos" w:hAnsi="Aptos" w:cstheme="minorHAnsi"/>
          <w:sz w:val="22"/>
        </w:rPr>
        <w:t>supp</w:t>
      </w:r>
      <w:r>
        <w:rPr>
          <w:rFonts w:ascii="Aptos" w:hAnsi="Aptos" w:cstheme="minorHAnsi"/>
          <w:sz w:val="22"/>
        </w:rPr>
        <w:t>ort</w:t>
      </w:r>
      <w:r w:rsidR="00137C82">
        <w:rPr>
          <w:rFonts w:ascii="Aptos" w:hAnsi="Aptos" w:cstheme="minorHAnsi"/>
          <w:sz w:val="22"/>
        </w:rPr>
        <w:t xml:space="preserve"> for parents</w:t>
      </w:r>
    </w:p>
    <w:p w14:paraId="4D26EE88" w14:textId="57C44601" w:rsidR="00477103" w:rsidRPr="00923587" w:rsidRDefault="00AE74AD" w:rsidP="00E01D41">
      <w:pPr>
        <w:spacing w:line="240" w:lineRule="auto"/>
        <w:rPr>
          <w:rFonts w:ascii="Aptos" w:hAnsi="Aptos" w:cstheme="minorHAnsi"/>
          <w:b/>
          <w:szCs w:val="24"/>
        </w:rPr>
      </w:pPr>
      <w:r w:rsidRPr="00923587">
        <w:rPr>
          <w:rFonts w:ascii="Aptos" w:hAnsi="Aptos" w:cstheme="minorHAnsi"/>
          <w:b/>
          <w:szCs w:val="24"/>
        </w:rPr>
        <w:t>Learning Points for practitioners</w:t>
      </w:r>
    </w:p>
    <w:p w14:paraId="339AE9E1" w14:textId="02C9ECA3" w:rsidR="00996CEE" w:rsidRPr="005C0E70" w:rsidRDefault="00996CEE" w:rsidP="06F40552">
      <w:pPr>
        <w:pStyle w:val="ListParagraph"/>
        <w:numPr>
          <w:ilvl w:val="0"/>
          <w:numId w:val="29"/>
        </w:numPr>
        <w:spacing w:line="240" w:lineRule="auto"/>
        <w:rPr>
          <w:rStyle w:val="cf01"/>
          <w:rFonts w:ascii="Aptos" w:hAnsi="Aptos"/>
          <w:sz w:val="22"/>
          <w:szCs w:val="22"/>
        </w:rPr>
      </w:pPr>
      <w:r w:rsidRPr="06F40552">
        <w:rPr>
          <w:rFonts w:ascii="Aptos" w:hAnsi="Aptos"/>
          <w:sz w:val="22"/>
        </w:rPr>
        <w:t xml:space="preserve">Where there are known risk factors there should be a </w:t>
      </w:r>
      <w:r w:rsidR="00137C82" w:rsidRPr="06F40552">
        <w:rPr>
          <w:rFonts w:ascii="Aptos" w:hAnsi="Aptos"/>
          <w:sz w:val="22"/>
        </w:rPr>
        <w:t>dynamic</w:t>
      </w:r>
      <w:r w:rsidRPr="06F40552">
        <w:rPr>
          <w:rFonts w:ascii="Aptos" w:hAnsi="Aptos"/>
          <w:sz w:val="22"/>
        </w:rPr>
        <w:t xml:space="preserve"> risk assessment and safety plan in place</w:t>
      </w:r>
      <w:r w:rsidR="00137C82" w:rsidRPr="06F40552">
        <w:rPr>
          <w:rFonts w:ascii="Aptos" w:hAnsi="Aptos"/>
          <w:sz w:val="22"/>
        </w:rPr>
        <w:t xml:space="preserve"> that is reviewed on a regular basis by the core group</w:t>
      </w:r>
      <w:r w:rsidR="30803294" w:rsidRPr="06F40552">
        <w:rPr>
          <w:rFonts w:ascii="Aptos" w:hAnsi="Aptos"/>
          <w:sz w:val="22"/>
        </w:rPr>
        <w:t>. This should be</w:t>
      </w:r>
      <w:r w:rsidR="3E0A78DA" w:rsidRPr="06F40552">
        <w:rPr>
          <w:rFonts w:ascii="Aptos" w:hAnsi="Aptos"/>
          <w:sz w:val="22"/>
        </w:rPr>
        <w:t xml:space="preserve"> a</w:t>
      </w:r>
      <w:r w:rsidR="00CE5022" w:rsidRPr="06F40552">
        <w:rPr>
          <w:rStyle w:val="cf01"/>
          <w:rFonts w:ascii="Aptos" w:hAnsi="Aptos"/>
          <w:sz w:val="22"/>
          <w:szCs w:val="22"/>
        </w:rPr>
        <w:t xml:space="preserve">greed and </w:t>
      </w:r>
      <w:r w:rsidR="4A5D6289" w:rsidRPr="06F40552">
        <w:rPr>
          <w:rStyle w:val="cf01"/>
          <w:rFonts w:ascii="Aptos" w:hAnsi="Aptos"/>
          <w:sz w:val="22"/>
          <w:szCs w:val="22"/>
        </w:rPr>
        <w:t>communicated clearly</w:t>
      </w:r>
      <w:r w:rsidR="00CE5022" w:rsidRPr="06F40552">
        <w:rPr>
          <w:rStyle w:val="cf01"/>
          <w:rFonts w:ascii="Aptos" w:hAnsi="Aptos"/>
          <w:sz w:val="22"/>
          <w:szCs w:val="22"/>
        </w:rPr>
        <w:t xml:space="preserve"> by all parties in the core group</w:t>
      </w:r>
    </w:p>
    <w:p w14:paraId="599C119D" w14:textId="4D519924" w:rsidR="00991C23" w:rsidRPr="005C0E70" w:rsidRDefault="006477C5" w:rsidP="41156CC9">
      <w:pPr>
        <w:pStyle w:val="ListParagraph"/>
        <w:numPr>
          <w:ilvl w:val="0"/>
          <w:numId w:val="29"/>
        </w:numPr>
        <w:spacing w:line="240" w:lineRule="auto"/>
        <w:rPr>
          <w:rFonts w:ascii="Aptos" w:hAnsi="Aptos"/>
          <w:sz w:val="22"/>
        </w:rPr>
      </w:pPr>
      <w:r w:rsidRPr="06F40552">
        <w:rPr>
          <w:rFonts w:ascii="Aptos" w:hAnsi="Aptos"/>
          <w:sz w:val="22"/>
        </w:rPr>
        <w:lastRenderedPageBreak/>
        <w:t>If legal proceedings are delayed, consider another strategy meeting or review to identify immediate short-term actions, like increased supervision or welfare checks</w:t>
      </w:r>
      <w:r w:rsidR="6632EFC3" w:rsidRPr="06F40552">
        <w:rPr>
          <w:rFonts w:ascii="Aptos" w:hAnsi="Aptos"/>
          <w:sz w:val="22"/>
        </w:rPr>
        <w:t>. There should be clear agreement of key roles and responsibilities by the core group members</w:t>
      </w:r>
    </w:p>
    <w:p w14:paraId="3FFAEE61" w14:textId="18EC5D1C" w:rsidR="00991C23" w:rsidRPr="005C0E70" w:rsidRDefault="006477C5" w:rsidP="00996CEE">
      <w:pPr>
        <w:pStyle w:val="ListParagraph"/>
        <w:numPr>
          <w:ilvl w:val="0"/>
          <w:numId w:val="29"/>
        </w:numPr>
        <w:spacing w:line="240" w:lineRule="auto"/>
        <w:rPr>
          <w:rFonts w:ascii="Aptos" w:hAnsi="Aptos" w:cstheme="minorHAnsi"/>
          <w:bCs/>
          <w:sz w:val="22"/>
        </w:rPr>
      </w:pPr>
      <w:r w:rsidRPr="005C0E70">
        <w:rPr>
          <w:rFonts w:ascii="Aptos" w:hAnsi="Aptos" w:cstheme="minorHAnsi"/>
          <w:bCs/>
          <w:sz w:val="22"/>
        </w:rPr>
        <w:t xml:space="preserve">Better multi-agency understanding of parental drug use, potential risks, and how it affects parenting could improve assessments and safety plans. Advice from a specialist midwife </w:t>
      </w:r>
      <w:r w:rsidR="00137C82">
        <w:rPr>
          <w:rFonts w:ascii="Aptos" w:hAnsi="Aptos" w:cstheme="minorHAnsi"/>
          <w:bCs/>
          <w:sz w:val="22"/>
        </w:rPr>
        <w:t>and drug and alcohol support services should be in place</w:t>
      </w:r>
    </w:p>
    <w:p w14:paraId="369E5A26" w14:textId="783083B7" w:rsidR="004624C8" w:rsidRPr="005C0E70" w:rsidRDefault="006477C5" w:rsidP="00996CEE">
      <w:pPr>
        <w:pStyle w:val="ListParagraph"/>
        <w:numPr>
          <w:ilvl w:val="0"/>
          <w:numId w:val="29"/>
        </w:numPr>
        <w:spacing w:line="240" w:lineRule="auto"/>
        <w:rPr>
          <w:rFonts w:ascii="Aptos" w:hAnsi="Aptos" w:cstheme="minorHAnsi"/>
          <w:bCs/>
          <w:sz w:val="22"/>
        </w:rPr>
      </w:pPr>
      <w:r w:rsidRPr="005C0E70">
        <w:rPr>
          <w:rFonts w:ascii="Aptos" w:hAnsi="Aptos" w:cstheme="minorHAnsi"/>
          <w:bCs/>
          <w:sz w:val="22"/>
        </w:rPr>
        <w:t>When dealing with long-term parental drug use and lack of engagement, practitioners should openly discuss the nature of drug use, addiction patterns, and the potential for hidden compliance and deception</w:t>
      </w:r>
    </w:p>
    <w:p w14:paraId="41E76173" w14:textId="372418E7" w:rsidR="004624C8" w:rsidRPr="005C0E70" w:rsidRDefault="004624C8" w:rsidP="00996CEE">
      <w:pPr>
        <w:pStyle w:val="ListParagraph"/>
        <w:numPr>
          <w:ilvl w:val="0"/>
          <w:numId w:val="29"/>
        </w:numPr>
        <w:spacing w:line="240" w:lineRule="auto"/>
        <w:rPr>
          <w:rFonts w:ascii="Aptos" w:hAnsi="Aptos" w:cstheme="minorHAnsi"/>
          <w:bCs/>
          <w:sz w:val="22"/>
        </w:rPr>
      </w:pPr>
      <w:r w:rsidRPr="005C0E70">
        <w:rPr>
          <w:rFonts w:ascii="Aptos" w:hAnsi="Aptos" w:cstheme="minorHAnsi"/>
          <w:bCs/>
          <w:sz w:val="22"/>
        </w:rPr>
        <w:t xml:space="preserve">The hospital was seen as a ‘safe </w:t>
      </w:r>
      <w:r w:rsidR="006477C5" w:rsidRPr="005C0E70">
        <w:rPr>
          <w:rFonts w:ascii="Aptos" w:hAnsi="Aptos" w:cstheme="minorHAnsi"/>
          <w:bCs/>
          <w:sz w:val="22"/>
        </w:rPr>
        <w:t>place</w:t>
      </w:r>
      <w:r w:rsidRPr="005C0E70">
        <w:rPr>
          <w:rFonts w:ascii="Aptos" w:hAnsi="Aptos" w:cstheme="minorHAnsi"/>
          <w:bCs/>
          <w:sz w:val="22"/>
        </w:rPr>
        <w:t>’ with an assumed level of supervision. This should be</w:t>
      </w:r>
      <w:r w:rsidR="006477C5" w:rsidRPr="005C0E70">
        <w:rPr>
          <w:rFonts w:ascii="Aptos" w:hAnsi="Aptos" w:cstheme="minorHAnsi"/>
          <w:bCs/>
          <w:sz w:val="22"/>
        </w:rPr>
        <w:t xml:space="preserve"> </w:t>
      </w:r>
      <w:r w:rsidRPr="005C0E70">
        <w:rPr>
          <w:rFonts w:ascii="Aptos" w:hAnsi="Aptos" w:cstheme="minorHAnsi"/>
          <w:bCs/>
          <w:sz w:val="22"/>
        </w:rPr>
        <w:t xml:space="preserve">discussed </w:t>
      </w:r>
      <w:r w:rsidR="006477C5" w:rsidRPr="005C0E70">
        <w:rPr>
          <w:rFonts w:ascii="Aptos" w:hAnsi="Aptos" w:cstheme="minorHAnsi"/>
          <w:bCs/>
          <w:sz w:val="22"/>
        </w:rPr>
        <w:t>during</w:t>
      </w:r>
      <w:r w:rsidRPr="005C0E70">
        <w:rPr>
          <w:rFonts w:ascii="Aptos" w:hAnsi="Aptos" w:cstheme="minorHAnsi"/>
          <w:bCs/>
          <w:sz w:val="22"/>
        </w:rPr>
        <w:t xml:space="preserve"> pre</w:t>
      </w:r>
      <w:r w:rsidR="00923587" w:rsidRPr="005C0E70">
        <w:rPr>
          <w:rFonts w:ascii="Aptos" w:hAnsi="Aptos" w:cstheme="minorHAnsi"/>
          <w:bCs/>
          <w:sz w:val="22"/>
        </w:rPr>
        <w:t xml:space="preserve"> and post </w:t>
      </w:r>
      <w:r w:rsidRPr="005C0E70">
        <w:rPr>
          <w:rFonts w:ascii="Aptos" w:hAnsi="Aptos" w:cstheme="minorHAnsi"/>
          <w:bCs/>
          <w:sz w:val="22"/>
        </w:rPr>
        <w:t>birth planning</w:t>
      </w:r>
      <w:r w:rsidR="00CE5022">
        <w:rPr>
          <w:rFonts w:ascii="Aptos" w:hAnsi="Aptos" w:cstheme="minorHAnsi"/>
          <w:bCs/>
          <w:sz w:val="22"/>
        </w:rPr>
        <w:t>, jointly agreed and understood,</w:t>
      </w:r>
      <w:r w:rsidR="00923587" w:rsidRPr="005C0E70">
        <w:rPr>
          <w:rFonts w:ascii="Aptos" w:hAnsi="Aptos" w:cstheme="minorHAnsi"/>
          <w:bCs/>
          <w:sz w:val="22"/>
        </w:rPr>
        <w:t xml:space="preserve"> and reviewed i</w:t>
      </w:r>
      <w:r w:rsidR="006477C5" w:rsidRPr="005C0E70">
        <w:rPr>
          <w:rFonts w:ascii="Aptos" w:hAnsi="Aptos" w:cstheme="minorHAnsi"/>
          <w:bCs/>
          <w:sz w:val="22"/>
        </w:rPr>
        <w:t>f risks</w:t>
      </w:r>
      <w:r w:rsidR="00923587" w:rsidRPr="005C0E70">
        <w:rPr>
          <w:rFonts w:ascii="Aptos" w:hAnsi="Aptos" w:cstheme="minorHAnsi"/>
          <w:bCs/>
          <w:sz w:val="22"/>
        </w:rPr>
        <w:t xml:space="preserve"> change</w:t>
      </w:r>
      <w:r w:rsidR="00CE5022">
        <w:rPr>
          <w:rFonts w:ascii="Aptos" w:hAnsi="Aptos" w:cstheme="minorHAnsi"/>
          <w:bCs/>
          <w:sz w:val="22"/>
        </w:rPr>
        <w:t>, e.g. there has been an active conversation about what is possible/can be arranged</w:t>
      </w:r>
    </w:p>
    <w:p w14:paraId="709B024B" w14:textId="4B21933B" w:rsidR="00E04F14" w:rsidRPr="00923587" w:rsidRDefault="00E04F14" w:rsidP="0021518F">
      <w:pPr>
        <w:spacing w:line="240" w:lineRule="auto"/>
        <w:rPr>
          <w:rFonts w:ascii="Aptos" w:hAnsi="Aptos" w:cstheme="minorHAnsi"/>
          <w:b/>
          <w:szCs w:val="24"/>
        </w:rPr>
      </w:pPr>
      <w:r w:rsidRPr="00923587">
        <w:rPr>
          <w:rFonts w:ascii="Aptos" w:hAnsi="Aptos" w:cstheme="minorHAnsi"/>
          <w:b/>
          <w:szCs w:val="24"/>
        </w:rPr>
        <w:t>Learning points for managers</w:t>
      </w:r>
      <w:r w:rsidR="00AE52CE" w:rsidRPr="00923587">
        <w:rPr>
          <w:rFonts w:ascii="Aptos" w:hAnsi="Aptos" w:cstheme="minorHAnsi"/>
          <w:b/>
          <w:szCs w:val="24"/>
        </w:rPr>
        <w:t>/senior practitioners/IRO</w:t>
      </w:r>
    </w:p>
    <w:p w14:paraId="581D2DCC" w14:textId="21DCEE5B" w:rsidR="006C4774" w:rsidRPr="005C0E70" w:rsidRDefault="006477C5" w:rsidP="006C4774">
      <w:pPr>
        <w:pStyle w:val="ListParagraph"/>
        <w:numPr>
          <w:ilvl w:val="0"/>
          <w:numId w:val="29"/>
        </w:numPr>
        <w:spacing w:line="240" w:lineRule="auto"/>
        <w:rPr>
          <w:rFonts w:ascii="Aptos" w:hAnsi="Aptos" w:cstheme="minorHAnsi"/>
          <w:bCs/>
          <w:sz w:val="22"/>
        </w:rPr>
      </w:pPr>
      <w:r w:rsidRPr="005C0E70">
        <w:rPr>
          <w:rFonts w:ascii="Aptos" w:hAnsi="Aptos" w:cstheme="minorHAnsi"/>
          <w:bCs/>
          <w:sz w:val="22"/>
        </w:rPr>
        <w:t>Core group meetings should always happen, with all involved professionals from different agencies attending. These meetings should review the plan in detail to take appropriate action if things aren’t going as expected</w:t>
      </w:r>
      <w:r w:rsidR="00CE5022">
        <w:rPr>
          <w:rFonts w:ascii="Aptos" w:hAnsi="Aptos" w:cstheme="minorHAnsi"/>
          <w:bCs/>
          <w:sz w:val="22"/>
        </w:rPr>
        <w:t>, and written updates and actions signed off by all attendees</w:t>
      </w:r>
    </w:p>
    <w:p w14:paraId="4E6D6D3F" w14:textId="6FA5691B" w:rsidR="006C4774" w:rsidRPr="005C0E70" w:rsidRDefault="00923587" w:rsidP="41156CC9">
      <w:pPr>
        <w:pStyle w:val="ListParagraph"/>
        <w:numPr>
          <w:ilvl w:val="0"/>
          <w:numId w:val="29"/>
        </w:numPr>
        <w:spacing w:line="240" w:lineRule="auto"/>
        <w:rPr>
          <w:rFonts w:ascii="Aptos" w:hAnsi="Aptos"/>
          <w:sz w:val="22"/>
        </w:rPr>
      </w:pPr>
      <w:r w:rsidRPr="1CB6D44F">
        <w:rPr>
          <w:rFonts w:ascii="Aptos" w:hAnsi="Aptos"/>
          <w:sz w:val="22"/>
        </w:rPr>
        <w:t>There should be a clear contingency plan when meetings do no</w:t>
      </w:r>
      <w:r w:rsidR="006477C5" w:rsidRPr="1CB6D44F">
        <w:rPr>
          <w:rFonts w:ascii="Aptos" w:hAnsi="Aptos"/>
          <w:sz w:val="22"/>
        </w:rPr>
        <w:t>t happen</w:t>
      </w:r>
      <w:r w:rsidRPr="1CB6D44F">
        <w:rPr>
          <w:rFonts w:ascii="Aptos" w:hAnsi="Aptos"/>
          <w:sz w:val="22"/>
        </w:rPr>
        <w:t>, including</w:t>
      </w:r>
      <w:r w:rsidR="00CE5022" w:rsidRPr="1CB6D44F">
        <w:rPr>
          <w:rFonts w:ascii="Aptos" w:hAnsi="Aptos"/>
          <w:sz w:val="22"/>
        </w:rPr>
        <w:t xml:space="preserve"> supervisor oversight</w:t>
      </w:r>
      <w:r w:rsidR="3C2D5A29" w:rsidRPr="1CB6D44F">
        <w:rPr>
          <w:rFonts w:ascii="Aptos" w:hAnsi="Aptos"/>
          <w:sz w:val="22"/>
        </w:rPr>
        <w:t>,</w:t>
      </w:r>
      <w:r w:rsidR="00CE5022" w:rsidRPr="1CB6D44F">
        <w:rPr>
          <w:rFonts w:ascii="Aptos" w:hAnsi="Aptos"/>
          <w:sz w:val="22"/>
        </w:rPr>
        <w:t xml:space="preserve"> </w:t>
      </w:r>
      <w:r w:rsidR="006477C5" w:rsidRPr="1CB6D44F">
        <w:rPr>
          <w:rFonts w:ascii="Aptos" w:hAnsi="Aptos"/>
          <w:sz w:val="22"/>
        </w:rPr>
        <w:t>a timeline for rescheduling</w:t>
      </w:r>
      <w:r w:rsidR="5EF2EC07" w:rsidRPr="1CB6D44F">
        <w:rPr>
          <w:rFonts w:ascii="Aptos" w:hAnsi="Aptos"/>
          <w:sz w:val="22"/>
        </w:rPr>
        <w:t xml:space="preserve">, and clear escalation processes if meetings </w:t>
      </w:r>
      <w:r w:rsidR="11484214" w:rsidRPr="1CB6D44F">
        <w:rPr>
          <w:rFonts w:ascii="Aptos" w:hAnsi="Aptos"/>
          <w:sz w:val="22"/>
        </w:rPr>
        <w:t>s</w:t>
      </w:r>
      <w:r w:rsidR="5EF2EC07" w:rsidRPr="1CB6D44F">
        <w:rPr>
          <w:rFonts w:ascii="Aptos" w:hAnsi="Aptos"/>
          <w:sz w:val="22"/>
        </w:rPr>
        <w:t>lip or membership is inadequate</w:t>
      </w:r>
    </w:p>
    <w:p w14:paraId="4F4F9ADE" w14:textId="77777777" w:rsidR="006477C5" w:rsidRPr="005C0E70" w:rsidRDefault="006477C5" w:rsidP="006477C5">
      <w:pPr>
        <w:pStyle w:val="ListParagraph"/>
        <w:spacing w:line="240" w:lineRule="auto"/>
        <w:rPr>
          <w:rFonts w:ascii="Aptos" w:hAnsi="Aptos" w:cstheme="minorHAnsi"/>
          <w:bCs/>
          <w:sz w:val="22"/>
        </w:rPr>
      </w:pPr>
    </w:p>
    <w:p w14:paraId="19738CA8" w14:textId="77777777" w:rsidR="006C4774" w:rsidRDefault="00AE74AD" w:rsidP="00090F24">
      <w:pPr>
        <w:pStyle w:val="ListParagraph"/>
        <w:spacing w:line="240" w:lineRule="auto"/>
        <w:ind w:left="0"/>
        <w:rPr>
          <w:rFonts w:ascii="Aptos" w:hAnsi="Aptos" w:cstheme="minorHAnsi"/>
          <w:b/>
          <w:szCs w:val="24"/>
        </w:rPr>
      </w:pPr>
      <w:r w:rsidRPr="00923587">
        <w:rPr>
          <w:rFonts w:ascii="Aptos" w:hAnsi="Aptos" w:cstheme="minorHAnsi"/>
          <w:b/>
          <w:szCs w:val="24"/>
        </w:rPr>
        <w:t>Key me</w:t>
      </w:r>
      <w:r w:rsidR="0093210A" w:rsidRPr="00923587">
        <w:rPr>
          <w:rFonts w:ascii="Aptos" w:hAnsi="Aptos" w:cstheme="minorHAnsi"/>
          <w:b/>
          <w:szCs w:val="24"/>
        </w:rPr>
        <w:t>ssages for the safeguarding system</w:t>
      </w:r>
    </w:p>
    <w:p w14:paraId="78E83AEC" w14:textId="77777777" w:rsidR="005C0E70" w:rsidRPr="00923587" w:rsidRDefault="005C0E70" w:rsidP="00090F24">
      <w:pPr>
        <w:pStyle w:val="ListParagraph"/>
        <w:spacing w:line="240" w:lineRule="auto"/>
        <w:ind w:left="0"/>
        <w:rPr>
          <w:rFonts w:ascii="Aptos" w:hAnsi="Aptos" w:cstheme="minorHAnsi"/>
          <w:b/>
          <w:szCs w:val="24"/>
        </w:rPr>
      </w:pPr>
    </w:p>
    <w:p w14:paraId="08B9CE33" w14:textId="6007EFBE" w:rsidR="006C4774" w:rsidRPr="005C0E70" w:rsidRDefault="006C4774" w:rsidP="41156CC9">
      <w:pPr>
        <w:pStyle w:val="ListParagraph"/>
        <w:numPr>
          <w:ilvl w:val="0"/>
          <w:numId w:val="30"/>
        </w:numPr>
        <w:rPr>
          <w:rFonts w:ascii="Aptos" w:hAnsi="Aptos"/>
          <w:sz w:val="22"/>
        </w:rPr>
      </w:pPr>
      <w:r w:rsidRPr="06F40552">
        <w:rPr>
          <w:rFonts w:ascii="Aptos" w:hAnsi="Aptos"/>
          <w:sz w:val="22"/>
        </w:rPr>
        <w:t>If there is a change in worker for a child/</w:t>
      </w:r>
      <w:r w:rsidR="005E7501" w:rsidRPr="06F40552">
        <w:rPr>
          <w:rFonts w:ascii="Aptos" w:hAnsi="Aptos"/>
          <w:sz w:val="22"/>
        </w:rPr>
        <w:t>family,</w:t>
      </w:r>
      <w:r w:rsidRPr="06F40552">
        <w:rPr>
          <w:rFonts w:ascii="Aptos" w:hAnsi="Aptos"/>
          <w:sz w:val="22"/>
        </w:rPr>
        <w:t xml:space="preserve"> it is </w:t>
      </w:r>
      <w:r w:rsidR="006477C5" w:rsidRPr="06F40552">
        <w:rPr>
          <w:rFonts w:ascii="Aptos" w:hAnsi="Aptos"/>
          <w:sz w:val="22"/>
        </w:rPr>
        <w:t xml:space="preserve">crucial to have a thorough </w:t>
      </w:r>
      <w:r w:rsidR="005E7501" w:rsidRPr="06F40552">
        <w:rPr>
          <w:rFonts w:ascii="Aptos" w:hAnsi="Aptos"/>
          <w:sz w:val="22"/>
        </w:rPr>
        <w:t>handover,</w:t>
      </w:r>
      <w:r w:rsidR="006477C5" w:rsidRPr="06F40552">
        <w:rPr>
          <w:rFonts w:ascii="Aptos" w:hAnsi="Aptos"/>
          <w:sz w:val="22"/>
        </w:rPr>
        <w:t xml:space="preserve"> so the new worker understands the risks and actions needed by each agency</w:t>
      </w:r>
      <w:r w:rsidR="0D14BF7C" w:rsidRPr="06F40552">
        <w:rPr>
          <w:rFonts w:ascii="Aptos" w:hAnsi="Aptos"/>
          <w:sz w:val="22"/>
        </w:rPr>
        <w:t>. The core group should also be notified of any change</w:t>
      </w:r>
    </w:p>
    <w:p w14:paraId="6DBC80B4" w14:textId="7B5E8B5B" w:rsidR="006C4774" w:rsidRPr="005C0E70" w:rsidRDefault="006477C5" w:rsidP="006C4774">
      <w:pPr>
        <w:pStyle w:val="ListParagraph"/>
        <w:numPr>
          <w:ilvl w:val="0"/>
          <w:numId w:val="30"/>
        </w:numPr>
        <w:spacing w:line="240" w:lineRule="auto"/>
        <w:rPr>
          <w:rFonts w:ascii="Aptos" w:hAnsi="Aptos" w:cstheme="minorHAnsi"/>
          <w:bCs/>
          <w:sz w:val="22"/>
        </w:rPr>
      </w:pPr>
      <w:r w:rsidRPr="005C0E70">
        <w:rPr>
          <w:rFonts w:ascii="Aptos" w:hAnsi="Aptos" w:cstheme="minorHAnsi"/>
          <w:bCs/>
          <w:sz w:val="22"/>
        </w:rPr>
        <w:t>If a baby is likely to be born early, a pre-birth meeting should be held before the third trimester to avoid time constraints. It might also be useful to consider the timing of the Public Law Outline process</w:t>
      </w:r>
    </w:p>
    <w:p w14:paraId="73A25B52" w14:textId="106D557B" w:rsidR="006C4774" w:rsidRPr="005C0E70" w:rsidRDefault="006477C5" w:rsidP="006C4774">
      <w:pPr>
        <w:pStyle w:val="ListParagraph"/>
        <w:numPr>
          <w:ilvl w:val="0"/>
          <w:numId w:val="30"/>
        </w:numPr>
        <w:spacing w:line="240" w:lineRule="auto"/>
        <w:rPr>
          <w:rFonts w:ascii="Aptos" w:hAnsi="Aptos" w:cstheme="minorHAnsi"/>
          <w:bCs/>
          <w:sz w:val="22"/>
        </w:rPr>
      </w:pPr>
      <w:r w:rsidRPr="08F78886">
        <w:rPr>
          <w:rFonts w:ascii="Aptos" w:hAnsi="Aptos"/>
          <w:sz w:val="22"/>
        </w:rPr>
        <w:t>It’s important to think about safety planning and support needs after the baby is born during the Initial Child Protection Conference (ICPC)</w:t>
      </w:r>
    </w:p>
    <w:p w14:paraId="0A34FD94" w14:textId="7DAE1BF3" w:rsidR="1F4243AD" w:rsidRDefault="1F4243AD" w:rsidP="08F78886">
      <w:pPr>
        <w:spacing w:line="240" w:lineRule="auto"/>
      </w:pPr>
      <w:r w:rsidRPr="051F0174">
        <w:rPr>
          <w:rFonts w:ascii="Aptos" w:hAnsi="Aptos"/>
          <w:b/>
          <w:bCs/>
        </w:rPr>
        <w:t>Complicating Factors</w:t>
      </w:r>
    </w:p>
    <w:p w14:paraId="552B6FB0" w14:textId="205F8170" w:rsidR="006C4774" w:rsidRPr="005C0E70" w:rsidRDefault="001C6D0C" w:rsidP="06F40552">
      <w:pPr>
        <w:pStyle w:val="ListParagraph"/>
        <w:numPr>
          <w:ilvl w:val="0"/>
          <w:numId w:val="31"/>
        </w:numPr>
        <w:spacing w:line="240" w:lineRule="auto"/>
        <w:rPr>
          <w:rFonts w:ascii="Aptos" w:hAnsi="Aptos"/>
          <w:sz w:val="22"/>
        </w:rPr>
      </w:pPr>
      <w:r w:rsidRPr="41156CC9">
        <w:rPr>
          <w:rFonts w:ascii="Aptos" w:hAnsi="Aptos"/>
          <w:sz w:val="22"/>
        </w:rPr>
        <w:t xml:space="preserve">Professionals face limitations if parents choose not to work with them or miss </w:t>
      </w:r>
      <w:r w:rsidR="006C4774" w:rsidRPr="41156CC9">
        <w:rPr>
          <w:rFonts w:ascii="Aptos" w:hAnsi="Aptos"/>
          <w:sz w:val="22"/>
        </w:rPr>
        <w:t>appointments</w:t>
      </w:r>
      <w:r w:rsidRPr="41156CC9">
        <w:rPr>
          <w:rFonts w:ascii="Aptos" w:hAnsi="Aptos"/>
          <w:sz w:val="22"/>
        </w:rPr>
        <w:t xml:space="preserve"> repeatedly</w:t>
      </w:r>
      <w:r w:rsidR="006C4774" w:rsidRPr="41156CC9">
        <w:rPr>
          <w:rFonts w:ascii="Aptos" w:hAnsi="Aptos"/>
          <w:sz w:val="22"/>
        </w:rPr>
        <w:t>. There is no legal recourse or action that can be taken until after a baby is born</w:t>
      </w:r>
      <w:r w:rsidR="00137C82" w:rsidRPr="41156CC9">
        <w:rPr>
          <w:rFonts w:ascii="Aptos" w:hAnsi="Aptos"/>
          <w:sz w:val="22"/>
        </w:rPr>
        <w:t>. The partnership should remain focused on the needs of the baby to ensure their safety is paramount</w:t>
      </w:r>
      <w:r w:rsidR="79C43BD6" w:rsidRPr="41156CC9">
        <w:rPr>
          <w:rFonts w:ascii="Aptos" w:hAnsi="Aptos"/>
          <w:sz w:val="22"/>
        </w:rPr>
        <w:t>.</w:t>
      </w:r>
      <w:r w:rsidR="391AD4C9" w:rsidRPr="41156CC9">
        <w:rPr>
          <w:rFonts w:ascii="Aptos" w:hAnsi="Aptos"/>
          <w:sz w:val="22"/>
        </w:rPr>
        <w:t xml:space="preserve"> </w:t>
      </w:r>
    </w:p>
    <w:p w14:paraId="1DBEB166" w14:textId="46028D03" w:rsidR="006C4774" w:rsidRPr="005C0E70" w:rsidRDefault="79C43BD6" w:rsidP="06F40552">
      <w:pPr>
        <w:pStyle w:val="ListParagraph"/>
        <w:spacing w:line="240" w:lineRule="auto"/>
        <w:rPr>
          <w:rFonts w:ascii="Aptos" w:hAnsi="Aptos"/>
          <w:sz w:val="22"/>
        </w:rPr>
      </w:pPr>
      <w:r w:rsidRPr="1CB6D44F">
        <w:rPr>
          <w:rFonts w:ascii="Aptos" w:hAnsi="Aptos"/>
          <w:sz w:val="22"/>
        </w:rPr>
        <w:t>Chrono</w:t>
      </w:r>
      <w:r w:rsidR="7AC12E97" w:rsidRPr="1CB6D44F">
        <w:rPr>
          <w:rFonts w:ascii="Aptos" w:hAnsi="Aptos"/>
          <w:sz w:val="22"/>
        </w:rPr>
        <w:t>logies can assist in post-birth legal processes</w:t>
      </w:r>
    </w:p>
    <w:p w14:paraId="19107F7E" w14:textId="77777777" w:rsidR="003F38F0" w:rsidRDefault="00456616" w:rsidP="06F40552">
      <w:pPr>
        <w:spacing w:line="240" w:lineRule="auto"/>
        <w:rPr>
          <w:rFonts w:ascii="Aptos" w:hAnsi="Aptos"/>
          <w:b/>
          <w:bCs/>
        </w:rPr>
      </w:pPr>
      <w:r>
        <w:rPr>
          <w:noProof/>
        </w:rPr>
        <mc:AlternateContent>
          <mc:Choice Requires="wps">
            <w:drawing>
              <wp:inline distT="0" distB="0" distL="114300" distR="114300" wp14:anchorId="7D045A6D" wp14:editId="6E0B991C">
                <wp:extent cx="6638290" cy="922020"/>
                <wp:effectExtent l="0" t="0" r="0" b="0"/>
                <wp:docPr id="1675297871"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290" cy="922020"/>
                        </a:xfrm>
                        <a:prstGeom prst="roundRect">
                          <a:avLst>
                            <a:gd name="adj" fmla="val 16667"/>
                          </a:avLst>
                        </a:prstGeom>
                        <a:solidFill>
                          <a:srgbClr val="EE0060"/>
                        </a:solidFill>
                        <a:ln w="31750">
                          <a:noFill/>
                          <a:round/>
                          <a:headEnd/>
                          <a:tailEnd/>
                        </a:ln>
                        <a:effectLst/>
                      </wps:spPr>
                      <wps:txbx>
                        <w:txbxContent>
                          <w:p w14:paraId="09D309D5" w14:textId="77777777" w:rsidR="0042069C" w:rsidRPr="00CD3F64" w:rsidRDefault="0042069C" w:rsidP="001474C5">
                            <w:pPr>
                              <w:spacing w:after="0" w:line="240" w:lineRule="auto"/>
                              <w:jc w:val="center"/>
                              <w:rPr>
                                <w:rFonts w:ascii="Aptos" w:hAnsi="Aptos" w:cstheme="minorHAnsi"/>
                                <w:b/>
                                <w:color w:val="FFFFFF" w:themeColor="background1"/>
                                <w:sz w:val="26"/>
                                <w:szCs w:val="26"/>
                              </w:rPr>
                            </w:pPr>
                            <w:r w:rsidRPr="00CD3F64">
                              <w:rPr>
                                <w:rFonts w:ascii="Aptos" w:hAnsi="Aptos" w:cstheme="minorHAnsi"/>
                                <w:b/>
                                <w:color w:val="FFFFFF" w:themeColor="background1"/>
                                <w:sz w:val="26"/>
                                <w:szCs w:val="26"/>
                              </w:rPr>
                              <w:t>If you do one thing……</w:t>
                            </w:r>
                          </w:p>
                          <w:p w14:paraId="002CD553" w14:textId="77777777" w:rsidR="0042069C" w:rsidRPr="00CD3F64" w:rsidRDefault="0042069C" w:rsidP="001474C5">
                            <w:pPr>
                              <w:spacing w:after="0" w:line="240" w:lineRule="auto"/>
                              <w:jc w:val="center"/>
                              <w:rPr>
                                <w:rFonts w:ascii="Aptos" w:hAnsi="Aptos" w:cstheme="minorHAnsi"/>
                                <w:bCs/>
                                <w:color w:val="FFFFFF" w:themeColor="background1"/>
                                <w:sz w:val="22"/>
                              </w:rPr>
                            </w:pPr>
                            <w:r w:rsidRPr="001C6D0C">
                              <w:rPr>
                                <w:rFonts w:ascii="Aptos" w:hAnsi="Aptos" w:cstheme="minorHAnsi"/>
                                <w:bCs/>
                                <w:color w:val="FFFFFF" w:themeColor="background1"/>
                                <w:sz w:val="22"/>
                              </w:rPr>
                              <w:t>Make sure there is thorough and detailed planning involving multiple agencies to assess the needs, risks, and potential harm to an unborn baby before and after birth, especially when there are concerns about the parents or immediate family</w:t>
                            </w:r>
                          </w:p>
                        </w:txbxContent>
                      </wps:txbx>
                      <wps:bodyPr rot="0" vert="horz" wrap="square" lIns="91440" tIns="45720" rIns="91440" bIns="45720" anchor="t" anchorCtr="0" upright="1">
                        <a:noAutofit/>
                      </wps:bodyPr>
                    </wps:wsp>
                  </a:graphicData>
                </a:graphic>
              </wp:inline>
            </w:drawing>
          </mc:Choice>
          <mc:Fallback>
            <w:pict>
              <v:roundrect w14:anchorId="7D045A6D" id="Rectangle: Rounded Corners 1" o:spid="_x0000_s1027" style="width:522.7pt;height:72.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" fillcolor="#ee0060" stroked="f" strokeweight="2.5pt">
                <v:textbox>
                  <w:txbxContent>
                    <w:p w14:paraId="09D309D5" w14:textId="77777777" w:rsidR="0042069C" w:rsidRPr="00CD3F64" w:rsidRDefault="0042069C" w:rsidP="001474C5">
                      <w:pPr>
                        <w:spacing w:after="0" w:line="240" w:lineRule="auto"/>
                        <w:jc w:val="center"/>
                        <w:rPr>
                          <w:rFonts w:ascii="Aptos" w:hAnsi="Aptos" w:cstheme="minorHAnsi"/>
                          <w:b/>
                          <w:color w:val="FFFFFF" w:themeColor="background1"/>
                          <w:sz w:val="26"/>
                          <w:szCs w:val="26"/>
                        </w:rPr>
                      </w:pPr>
                      <w:r w:rsidRPr="00CD3F64">
                        <w:rPr>
                          <w:rFonts w:ascii="Aptos" w:hAnsi="Aptos" w:cstheme="minorHAnsi"/>
                          <w:b/>
                          <w:color w:val="FFFFFF" w:themeColor="background1"/>
                          <w:sz w:val="26"/>
                          <w:szCs w:val="26"/>
                        </w:rPr>
                        <w:t>If you do one thing……</w:t>
                      </w:r>
                    </w:p>
                    <w:p w14:paraId="002CD553" w14:textId="77777777" w:rsidR="0042069C" w:rsidRPr="00CD3F64" w:rsidRDefault="0042069C" w:rsidP="001474C5">
                      <w:pPr>
                        <w:spacing w:after="0" w:line="240" w:lineRule="auto"/>
                        <w:jc w:val="center"/>
                        <w:rPr>
                          <w:rFonts w:ascii="Aptos" w:hAnsi="Aptos" w:cstheme="minorHAnsi"/>
                          <w:bCs/>
                          <w:color w:val="FFFFFF" w:themeColor="background1"/>
                          <w:sz w:val="22"/>
                        </w:rPr>
                      </w:pPr>
                      <w:r w:rsidRPr="001C6D0C">
                        <w:rPr>
                          <w:rFonts w:ascii="Aptos" w:hAnsi="Aptos" w:cstheme="minorHAnsi"/>
                          <w:bCs/>
                          <w:color w:val="FFFFFF" w:themeColor="background1"/>
                          <w:sz w:val="22"/>
                        </w:rPr>
                        <w:t>Make sure there is thorough and detailed planning involving multiple agencies to assess the needs, risks, and potential harm to an unborn baby before and after birth, especially when there are concerns about the parents or immediate family</w:t>
                      </w:r>
                    </w:p>
                  </w:txbxContent>
                </v:textbox>
                <w10:anchorlock/>
              </v:roundrect>
            </w:pict>
          </mc:Fallback>
        </mc:AlternateContent>
      </w:r>
    </w:p>
    <w:p w14:paraId="48A94798" w14:textId="4DFDB4DE" w:rsidR="001474C5" w:rsidRPr="00923587" w:rsidRDefault="00456616" w:rsidP="06F40552">
      <w:pPr>
        <w:spacing w:line="240" w:lineRule="auto"/>
        <w:rPr>
          <w:rFonts w:ascii="Aptos" w:hAnsi="Aptos"/>
          <w:b/>
          <w:bCs/>
        </w:rPr>
      </w:pPr>
      <w:r w:rsidRPr="06F40552">
        <w:rPr>
          <w:rFonts w:ascii="Aptos" w:hAnsi="Aptos"/>
          <w:b/>
          <w:bCs/>
        </w:rPr>
        <w:t>Did you know? The following links offer useful further information and guidance:</w:t>
      </w:r>
    </w:p>
    <w:p w14:paraId="38383461" w14:textId="0DB6B9FF" w:rsidR="000B75B9" w:rsidRPr="000B75B9" w:rsidRDefault="000B75B9" w:rsidP="001314F8">
      <w:pPr>
        <w:pStyle w:val="ListParagraph"/>
        <w:numPr>
          <w:ilvl w:val="0"/>
          <w:numId w:val="28"/>
        </w:numPr>
        <w:spacing w:line="240" w:lineRule="auto"/>
        <w:rPr>
          <w:rFonts w:ascii="Aptos" w:hAnsi="Aptos" w:cstheme="minorHAnsi"/>
          <w:bCs/>
          <w:sz w:val="22"/>
        </w:rPr>
      </w:pPr>
      <w:r w:rsidRPr="000B75B9">
        <w:rPr>
          <w:rFonts w:ascii="Aptos" w:hAnsi="Aptos" w:cstheme="minorHAnsi"/>
          <w:bCs/>
          <w:sz w:val="22"/>
        </w:rPr>
        <w:t xml:space="preserve">The Lullaby Trust information and guidance: </w:t>
      </w:r>
    </w:p>
    <w:p w14:paraId="04ED17AF" w14:textId="653B8A5E" w:rsidR="000B75B9" w:rsidRPr="000B75B9" w:rsidRDefault="000B75B9" w:rsidP="000B75B9">
      <w:pPr>
        <w:pStyle w:val="ListParagraph"/>
        <w:numPr>
          <w:ilvl w:val="1"/>
          <w:numId w:val="28"/>
        </w:numPr>
        <w:spacing w:line="240" w:lineRule="auto"/>
        <w:rPr>
          <w:rFonts w:ascii="Aptos" w:hAnsi="Aptos" w:cstheme="minorHAnsi"/>
          <w:b/>
          <w:sz w:val="22"/>
        </w:rPr>
      </w:pPr>
      <w:hyperlink r:id="rId11" w:history="1">
        <w:r w:rsidRPr="000B75B9">
          <w:rPr>
            <w:rFonts w:ascii="Aptos" w:hAnsi="Aptos"/>
            <w:color w:val="0000FF"/>
            <w:sz w:val="22"/>
            <w:u w:val="single"/>
          </w:rPr>
          <w:t>Professionals - The Lullaby Trust</w:t>
        </w:r>
      </w:hyperlink>
    </w:p>
    <w:p w14:paraId="7EE6D24A" w14:textId="7967246B" w:rsidR="00923587" w:rsidRPr="000B75B9" w:rsidRDefault="000B75B9" w:rsidP="000B75B9">
      <w:pPr>
        <w:pStyle w:val="ListParagraph"/>
        <w:numPr>
          <w:ilvl w:val="1"/>
          <w:numId w:val="28"/>
        </w:numPr>
        <w:spacing w:line="240" w:lineRule="auto"/>
        <w:rPr>
          <w:rFonts w:ascii="Aptos" w:hAnsi="Aptos" w:cstheme="minorHAnsi"/>
          <w:b/>
          <w:sz w:val="22"/>
        </w:rPr>
      </w:pPr>
      <w:hyperlink r:id="rId12" w:history="1">
        <w:r w:rsidRPr="000B75B9">
          <w:rPr>
            <w:rFonts w:ascii="Aptos" w:hAnsi="Aptos"/>
            <w:color w:val="0000FF"/>
            <w:sz w:val="22"/>
            <w:u w:val="single"/>
          </w:rPr>
          <w:t>How to reduce the risk of SIDS for your baby - The Lullaby Trust</w:t>
        </w:r>
      </w:hyperlink>
    </w:p>
    <w:p w14:paraId="0E257C30" w14:textId="77777777" w:rsidR="00BF2171" w:rsidRPr="00BF2171" w:rsidRDefault="001314F8" w:rsidP="00BF2171">
      <w:pPr>
        <w:pStyle w:val="ListParagraph"/>
        <w:numPr>
          <w:ilvl w:val="1"/>
          <w:numId w:val="32"/>
        </w:numPr>
        <w:shd w:val="clear" w:color="auto" w:fill="FFFFFF"/>
        <w:spacing w:before="100" w:beforeAutospacing="1" w:after="100" w:afterAutospacing="1" w:line="240" w:lineRule="auto"/>
        <w:rPr>
          <w:rFonts w:ascii="Open Sans" w:eastAsia="Times New Roman" w:hAnsi="Open Sans" w:cs="Open Sans"/>
          <w:color w:val="424242"/>
          <w:sz w:val="26"/>
          <w:szCs w:val="26"/>
          <w:lang w:eastAsia="en-GB"/>
        </w:rPr>
      </w:pPr>
      <w:hyperlink r:id="rId13" w:history="1">
        <w:r w:rsidRPr="00BF2171">
          <w:rPr>
            <w:rFonts w:ascii="Aptos" w:hAnsi="Aptos" w:cstheme="minorHAnsi"/>
            <w:color w:val="0000FF"/>
            <w:sz w:val="22"/>
            <w:u w:val="single"/>
          </w:rPr>
          <w:t>The Lullaby Trust: Evidence Base</w:t>
        </w:r>
      </w:hyperlink>
      <w:r w:rsidR="00CD3F64" w:rsidRPr="00BF2171">
        <w:rPr>
          <w:rFonts w:ascii="Aptos" w:hAnsi="Aptos" w:cstheme="minorHAnsi"/>
          <w:sz w:val="22"/>
        </w:rPr>
        <w:t xml:space="preserve"> (factors associated with and increased risk in sudden infant death syndrome, Section 1.3.1 Co-sleeping and 1.4 Alcohol and drug use in pregnancy)</w:t>
      </w:r>
    </w:p>
    <w:p w14:paraId="243E32DF" w14:textId="317C0D9C" w:rsidR="0037032E" w:rsidRPr="0037032E" w:rsidRDefault="000B75B9" w:rsidP="0037032E">
      <w:pPr>
        <w:pStyle w:val="ListParagraph"/>
        <w:numPr>
          <w:ilvl w:val="0"/>
          <w:numId w:val="32"/>
        </w:numPr>
        <w:shd w:val="clear" w:color="auto" w:fill="FFFFFF"/>
        <w:spacing w:before="100" w:beforeAutospacing="1" w:after="100" w:afterAutospacing="1" w:line="240" w:lineRule="auto"/>
        <w:rPr>
          <w:rFonts w:ascii="Aptos" w:eastAsia="Times New Roman" w:hAnsi="Aptos" w:cs="Open Sans"/>
          <w:b/>
          <w:bCs/>
          <w:color w:val="424242"/>
          <w:szCs w:val="24"/>
          <w:lang w:eastAsia="en-GB"/>
        </w:rPr>
      </w:pPr>
      <w:r w:rsidRPr="0037032E">
        <w:rPr>
          <w:rFonts w:ascii="Aptos" w:hAnsi="Aptos" w:cstheme="minorHAnsi"/>
          <w:sz w:val="22"/>
        </w:rPr>
        <w:t xml:space="preserve">OSCB multi-agency guidance: </w:t>
      </w:r>
      <w:hyperlink r:id="rId14" w:history="1">
        <w:r w:rsidRPr="0037032E">
          <w:rPr>
            <w:rFonts w:ascii="Aptos" w:eastAsia="Times New Roman" w:hAnsi="Aptos" w:cs="Open Sans"/>
            <w:b/>
            <w:bCs/>
            <w:color w:val="0F6EC6"/>
            <w:sz w:val="22"/>
            <w:u w:val="single"/>
            <w:lang w:eastAsia="en-GB"/>
          </w:rPr>
          <w:t>Pre-birth assessment practice guidance</w:t>
        </w:r>
      </w:hyperlink>
    </w:p>
    <w:p w14:paraId="7C1AE1FE" w14:textId="151AF249" w:rsidR="0037032E" w:rsidRPr="00E34F3B" w:rsidRDefault="0037032E" w:rsidP="00E074D2">
      <w:pPr>
        <w:shd w:val="clear" w:color="auto" w:fill="FFFFFF"/>
        <w:spacing w:before="100" w:beforeAutospacing="1" w:after="100" w:afterAutospacing="1" w:line="240" w:lineRule="auto"/>
        <w:rPr>
          <w:rFonts w:ascii="Aptos" w:eastAsia="Times New Roman" w:hAnsi="Aptos" w:cs="Open Sans"/>
          <w:b/>
          <w:bCs/>
          <w:color w:val="424242"/>
          <w:sz w:val="20"/>
          <w:szCs w:val="20"/>
          <w:lang w:eastAsia="en-GB"/>
        </w:rPr>
      </w:pPr>
      <w:r w:rsidRPr="00E34F3B">
        <w:rPr>
          <w:rFonts w:ascii="Aptos" w:eastAsia="Times New Roman" w:hAnsi="Aptos" w:cs="Open Sans"/>
          <w:b/>
          <w:bCs/>
          <w:sz w:val="20"/>
          <w:szCs w:val="20"/>
          <w:lang w:eastAsia="en-GB"/>
        </w:rPr>
        <w:t>Please share the learning from this summary in your teams, discuss in your team meetings and supervision, and make sure you are familiar with the relevant tools and guidance.</w:t>
      </w:r>
    </w:p>
    <w:sectPr w:rsidR="0037032E" w:rsidRPr="00E34F3B" w:rsidSect="00473DD3">
      <w:headerReference w:type="even" r:id="rId15"/>
      <w:headerReference w:type="default" r:id="rId16"/>
      <w:footerReference w:type="default" r:id="rId17"/>
      <w:headerReference w:type="first" r:id="rId18"/>
      <w:pgSz w:w="11906" w:h="16838"/>
      <w:pgMar w:top="720" w:right="720" w:bottom="720" w:left="72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9ACC0A" w14:textId="77777777" w:rsidR="00814780" w:rsidRDefault="00814780" w:rsidP="000E1737">
      <w:pPr>
        <w:spacing w:after="0" w:line="240" w:lineRule="auto"/>
      </w:pPr>
      <w:r>
        <w:separator/>
      </w:r>
    </w:p>
  </w:endnote>
  <w:endnote w:type="continuationSeparator" w:id="0">
    <w:p w14:paraId="338144DE" w14:textId="77777777" w:rsidR="00814780" w:rsidRDefault="00814780" w:rsidP="000E1737">
      <w:pPr>
        <w:spacing w:after="0" w:line="240" w:lineRule="auto"/>
      </w:pPr>
      <w:r>
        <w:continuationSeparator/>
      </w:r>
    </w:p>
  </w:endnote>
  <w:endnote w:type="continuationNotice" w:id="1">
    <w:p w14:paraId="7BF2B5D8" w14:textId="77777777" w:rsidR="006A7657" w:rsidRDefault="006A76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5070263"/>
      <w:docPartObj>
        <w:docPartGallery w:val="Page Numbers (Bottom of Page)"/>
        <w:docPartUnique/>
      </w:docPartObj>
    </w:sdtPr>
    <w:sdtEndPr>
      <w:rPr>
        <w:noProof/>
      </w:rPr>
    </w:sdtEndPr>
    <w:sdtContent>
      <w:p w14:paraId="070FA61B" w14:textId="7A7FDA9D" w:rsidR="00EE37DE" w:rsidRPr="0014001C" w:rsidRDefault="00EE37DE" w:rsidP="00EE37DE">
        <w:pPr>
          <w:pStyle w:val="Footer"/>
          <w:jc w:val="center"/>
          <w:rPr>
            <w:b/>
            <w:color w:val="FF0000"/>
          </w:rPr>
        </w:pPr>
        <w:r w:rsidRPr="0014001C">
          <w:rPr>
            <w:b/>
            <w:color w:val="FF0000"/>
          </w:rPr>
          <w:t xml:space="preserve"> </w:t>
        </w:r>
      </w:p>
      <w:p w14:paraId="2023812D" w14:textId="7E641C31" w:rsidR="00EE37DE" w:rsidRDefault="00EE37D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DEBD27" w14:textId="37AE2F74" w:rsidR="0014001C" w:rsidRDefault="001400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C4CD7" w14:textId="77777777" w:rsidR="00814780" w:rsidRDefault="00814780" w:rsidP="000E1737">
      <w:pPr>
        <w:spacing w:after="0" w:line="240" w:lineRule="auto"/>
      </w:pPr>
      <w:r>
        <w:separator/>
      </w:r>
    </w:p>
  </w:footnote>
  <w:footnote w:type="continuationSeparator" w:id="0">
    <w:p w14:paraId="266C1C2B" w14:textId="77777777" w:rsidR="00814780" w:rsidRDefault="00814780" w:rsidP="000E1737">
      <w:pPr>
        <w:spacing w:after="0" w:line="240" w:lineRule="auto"/>
      </w:pPr>
      <w:r>
        <w:continuationSeparator/>
      </w:r>
    </w:p>
  </w:footnote>
  <w:footnote w:type="continuationNotice" w:id="1">
    <w:p w14:paraId="184208C4" w14:textId="77777777" w:rsidR="006A7657" w:rsidRDefault="006A76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04F48" w14:textId="5DABE011" w:rsidR="0014001C" w:rsidRDefault="001400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500E1" w14:textId="440459D9" w:rsidR="000B1D1A" w:rsidRPr="00EE37DE" w:rsidRDefault="00E01D41" w:rsidP="00E01D41">
    <w:pPr>
      <w:pStyle w:val="Footer"/>
      <w:jc w:val="center"/>
      <w:rPr>
        <w:bCs/>
        <w:color w:val="FF0000"/>
      </w:rPr>
    </w:pPr>
    <w:r w:rsidRPr="00EE37DE">
      <w:rPr>
        <w:bCs/>
        <w:noProof/>
      </w:rPr>
      <w:drawing>
        <wp:anchor distT="0" distB="0" distL="114300" distR="114300" simplePos="0" relativeHeight="251658243" behindDoc="0" locked="0" layoutInCell="1" allowOverlap="1" wp14:anchorId="66D30FEA" wp14:editId="60E925F8">
          <wp:simplePos x="0" y="0"/>
          <wp:positionH relativeFrom="column">
            <wp:posOffset>5615940</wp:posOffset>
          </wp:positionH>
          <wp:positionV relativeFrom="paragraph">
            <wp:posOffset>-266700</wp:posOffset>
          </wp:positionV>
          <wp:extent cx="1264920" cy="647065"/>
          <wp:effectExtent l="0" t="0" r="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4920" cy="647065"/>
                  </a:xfrm>
                  <a:prstGeom prst="rect">
                    <a:avLst/>
                  </a:prstGeom>
                  <a:noFill/>
                </pic:spPr>
              </pic:pic>
            </a:graphicData>
          </a:graphic>
          <wp14:sizeRelH relativeFrom="margin">
            <wp14:pctWidth>0</wp14:pctWidth>
          </wp14:sizeRelH>
          <wp14:sizeRelV relativeFrom="margin">
            <wp14:pctHeight>0</wp14:pctHeight>
          </wp14:sizeRelV>
        </wp:anchor>
      </w:drawing>
    </w:r>
    <w:r w:rsidRPr="00EE37DE">
      <w:rPr>
        <w:bCs/>
        <w:color w:val="FF0000"/>
      </w:rPr>
      <w:tab/>
    </w:r>
  </w:p>
  <w:p w14:paraId="0A5F7D80" w14:textId="25BFC8CA" w:rsidR="0014001C" w:rsidRDefault="0014001C" w:rsidP="00EE37DE">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86018" w14:textId="5F766FCC" w:rsidR="0014001C" w:rsidRDefault="001400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B2672"/>
    <w:multiLevelType w:val="multilevel"/>
    <w:tmpl w:val="EA844B0A"/>
    <w:lvl w:ilvl="0">
      <w:numFmt w:val="bullet"/>
      <w:lvlText w:val="•"/>
      <w:lvlJc w:val="left"/>
      <w:pPr>
        <w:tabs>
          <w:tab w:val="num" w:pos="720"/>
        </w:tabs>
        <w:ind w:left="720" w:hanging="360"/>
      </w:pPr>
      <w:rPr>
        <w:rFonts w:ascii="Arial" w:eastAsiaTheme="minorHAnsi" w:hAnsi="Arial" w:cs="Aria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E74D6E"/>
    <w:multiLevelType w:val="hybridMultilevel"/>
    <w:tmpl w:val="8046865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3350AF0"/>
    <w:multiLevelType w:val="hybridMultilevel"/>
    <w:tmpl w:val="895C05D8"/>
    <w:lvl w:ilvl="0" w:tplc="F54E4DEC">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2B350B"/>
    <w:multiLevelType w:val="hybridMultilevel"/>
    <w:tmpl w:val="34B8D43C"/>
    <w:lvl w:ilvl="0" w:tplc="F54E4D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053F98"/>
    <w:multiLevelType w:val="hybridMultilevel"/>
    <w:tmpl w:val="E2266B0E"/>
    <w:lvl w:ilvl="0" w:tplc="F54E4D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9B2E17"/>
    <w:multiLevelType w:val="hybridMultilevel"/>
    <w:tmpl w:val="B48E2528"/>
    <w:lvl w:ilvl="0" w:tplc="F54E4D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66F66"/>
    <w:multiLevelType w:val="hybridMultilevel"/>
    <w:tmpl w:val="E6E46888"/>
    <w:lvl w:ilvl="0" w:tplc="F54E4D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372366"/>
    <w:multiLevelType w:val="hybridMultilevel"/>
    <w:tmpl w:val="05805CBC"/>
    <w:lvl w:ilvl="0" w:tplc="F54E4DEC">
      <w:numFmt w:val="bullet"/>
      <w:lvlText w:val="•"/>
      <w:lvlJc w:val="left"/>
      <w:pPr>
        <w:ind w:left="720" w:hanging="360"/>
      </w:pPr>
      <w:rPr>
        <w:rFonts w:ascii="Arial" w:eastAsiaTheme="minorHAnsi"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2C1D71"/>
    <w:multiLevelType w:val="hybridMultilevel"/>
    <w:tmpl w:val="72C8C59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1B78EA"/>
    <w:multiLevelType w:val="hybridMultilevel"/>
    <w:tmpl w:val="EFDA0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397E2C"/>
    <w:multiLevelType w:val="hybridMultilevel"/>
    <w:tmpl w:val="07325C5A"/>
    <w:lvl w:ilvl="0" w:tplc="71E4A75E">
      <w:start w:val="1"/>
      <w:numFmt w:val="bullet"/>
      <w:pStyle w:val="Bullets"/>
      <w:lvlText w:val=""/>
      <w:lvlJc w:val="left"/>
      <w:pPr>
        <w:ind w:left="-2039" w:hanging="360"/>
      </w:pPr>
      <w:rPr>
        <w:rFonts w:ascii="Symbol" w:hAnsi="Symbol" w:hint="default"/>
      </w:rPr>
    </w:lvl>
    <w:lvl w:ilvl="1" w:tplc="0809000B">
      <w:start w:val="1"/>
      <w:numFmt w:val="bullet"/>
      <w:lvlText w:val=""/>
      <w:lvlJc w:val="left"/>
      <w:pPr>
        <w:ind w:left="-1319" w:hanging="360"/>
      </w:pPr>
      <w:rPr>
        <w:rFonts w:ascii="Wingdings" w:hAnsi="Wingdings" w:hint="default"/>
      </w:rPr>
    </w:lvl>
    <w:lvl w:ilvl="2" w:tplc="08090005" w:tentative="1">
      <w:start w:val="1"/>
      <w:numFmt w:val="bullet"/>
      <w:lvlText w:val=""/>
      <w:lvlJc w:val="left"/>
      <w:pPr>
        <w:ind w:left="-599" w:hanging="360"/>
      </w:pPr>
      <w:rPr>
        <w:rFonts w:ascii="Wingdings" w:hAnsi="Wingdings" w:hint="default"/>
      </w:rPr>
    </w:lvl>
    <w:lvl w:ilvl="3" w:tplc="08090001" w:tentative="1">
      <w:start w:val="1"/>
      <w:numFmt w:val="bullet"/>
      <w:lvlText w:val=""/>
      <w:lvlJc w:val="left"/>
      <w:pPr>
        <w:ind w:left="121" w:hanging="360"/>
      </w:pPr>
      <w:rPr>
        <w:rFonts w:ascii="Symbol" w:hAnsi="Symbol" w:hint="default"/>
      </w:rPr>
    </w:lvl>
    <w:lvl w:ilvl="4" w:tplc="08090003" w:tentative="1">
      <w:start w:val="1"/>
      <w:numFmt w:val="bullet"/>
      <w:lvlText w:val="o"/>
      <w:lvlJc w:val="left"/>
      <w:pPr>
        <w:ind w:left="841" w:hanging="360"/>
      </w:pPr>
      <w:rPr>
        <w:rFonts w:ascii="Courier New" w:hAnsi="Courier New" w:cs="Courier New" w:hint="default"/>
      </w:rPr>
    </w:lvl>
    <w:lvl w:ilvl="5" w:tplc="08090005" w:tentative="1">
      <w:start w:val="1"/>
      <w:numFmt w:val="bullet"/>
      <w:lvlText w:val=""/>
      <w:lvlJc w:val="left"/>
      <w:pPr>
        <w:ind w:left="1561" w:hanging="360"/>
      </w:pPr>
      <w:rPr>
        <w:rFonts w:ascii="Wingdings" w:hAnsi="Wingdings" w:hint="default"/>
      </w:rPr>
    </w:lvl>
    <w:lvl w:ilvl="6" w:tplc="08090001" w:tentative="1">
      <w:start w:val="1"/>
      <w:numFmt w:val="bullet"/>
      <w:lvlText w:val=""/>
      <w:lvlJc w:val="left"/>
      <w:pPr>
        <w:ind w:left="2281" w:hanging="360"/>
      </w:pPr>
      <w:rPr>
        <w:rFonts w:ascii="Symbol" w:hAnsi="Symbol" w:hint="default"/>
      </w:rPr>
    </w:lvl>
    <w:lvl w:ilvl="7" w:tplc="08090003" w:tentative="1">
      <w:start w:val="1"/>
      <w:numFmt w:val="bullet"/>
      <w:lvlText w:val="o"/>
      <w:lvlJc w:val="left"/>
      <w:pPr>
        <w:ind w:left="3001" w:hanging="360"/>
      </w:pPr>
      <w:rPr>
        <w:rFonts w:ascii="Courier New" w:hAnsi="Courier New" w:cs="Courier New" w:hint="default"/>
      </w:rPr>
    </w:lvl>
    <w:lvl w:ilvl="8" w:tplc="08090005" w:tentative="1">
      <w:start w:val="1"/>
      <w:numFmt w:val="bullet"/>
      <w:lvlText w:val=""/>
      <w:lvlJc w:val="left"/>
      <w:pPr>
        <w:ind w:left="3721" w:hanging="360"/>
      </w:pPr>
      <w:rPr>
        <w:rFonts w:ascii="Wingdings" w:hAnsi="Wingdings" w:hint="default"/>
      </w:rPr>
    </w:lvl>
  </w:abstractNum>
  <w:abstractNum w:abstractNumId="11" w15:restartNumberingAfterBreak="0">
    <w:nsid w:val="27883946"/>
    <w:multiLevelType w:val="hybridMultilevel"/>
    <w:tmpl w:val="CE623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4F0E7E"/>
    <w:multiLevelType w:val="hybridMultilevel"/>
    <w:tmpl w:val="66DA3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167DBE"/>
    <w:multiLevelType w:val="hybridMultilevel"/>
    <w:tmpl w:val="682E1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3324CB"/>
    <w:multiLevelType w:val="hybridMultilevel"/>
    <w:tmpl w:val="8976157A"/>
    <w:lvl w:ilvl="0" w:tplc="F54E4D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36736C"/>
    <w:multiLevelType w:val="hybridMultilevel"/>
    <w:tmpl w:val="8A2423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4176DE"/>
    <w:multiLevelType w:val="hybridMultilevel"/>
    <w:tmpl w:val="31A013F2"/>
    <w:lvl w:ilvl="0" w:tplc="F54E4DEC">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A41F8C"/>
    <w:multiLevelType w:val="hybridMultilevel"/>
    <w:tmpl w:val="055AB2F2"/>
    <w:lvl w:ilvl="0" w:tplc="F54E4DEC">
      <w:numFmt w:val="bullet"/>
      <w:lvlText w:val="•"/>
      <w:lvlJc w:val="left"/>
      <w:pPr>
        <w:ind w:left="826" w:hanging="360"/>
      </w:pPr>
      <w:rPr>
        <w:rFonts w:ascii="Arial" w:eastAsiaTheme="minorHAnsi" w:hAnsi="Arial" w:cs="Arial" w:hint="default"/>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18" w15:restartNumberingAfterBreak="0">
    <w:nsid w:val="4C830026"/>
    <w:multiLevelType w:val="hybridMultilevel"/>
    <w:tmpl w:val="A6D6D71E"/>
    <w:lvl w:ilvl="0" w:tplc="F54E4DEC">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4423B78"/>
    <w:multiLevelType w:val="hybridMultilevel"/>
    <w:tmpl w:val="56905624"/>
    <w:lvl w:ilvl="0" w:tplc="467C506A">
      <w:start w:val="1"/>
      <w:numFmt w:val="bullet"/>
      <w:lvlText w:val=""/>
      <w:lvlJc w:val="left"/>
      <w:pPr>
        <w:ind w:left="720" w:hanging="360"/>
      </w:pPr>
      <w:rPr>
        <w:rFonts w:ascii="Wingdings" w:hAnsi="Wingdings" w:hint="default"/>
        <w:b/>
        <w:i w:val="0"/>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3B75C9"/>
    <w:multiLevelType w:val="hybridMultilevel"/>
    <w:tmpl w:val="F4B20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003E5E"/>
    <w:multiLevelType w:val="hybridMultilevel"/>
    <w:tmpl w:val="AAEA6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1D445F"/>
    <w:multiLevelType w:val="hybridMultilevel"/>
    <w:tmpl w:val="44FAA466"/>
    <w:lvl w:ilvl="0" w:tplc="F54E4D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C57992"/>
    <w:multiLevelType w:val="hybridMultilevel"/>
    <w:tmpl w:val="61045FD8"/>
    <w:lvl w:ilvl="0" w:tplc="467C506A">
      <w:start w:val="1"/>
      <w:numFmt w:val="bullet"/>
      <w:lvlText w:val=""/>
      <w:lvlJc w:val="left"/>
      <w:pPr>
        <w:ind w:left="720" w:hanging="360"/>
      </w:pPr>
      <w:rPr>
        <w:rFonts w:ascii="Wingdings" w:hAnsi="Wingdings" w:hint="default"/>
        <w:b/>
        <w:i w:val="0"/>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897249"/>
    <w:multiLevelType w:val="hybridMultilevel"/>
    <w:tmpl w:val="76C27490"/>
    <w:lvl w:ilvl="0" w:tplc="F54E4D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F43853"/>
    <w:multiLevelType w:val="hybridMultilevel"/>
    <w:tmpl w:val="190E9EF0"/>
    <w:lvl w:ilvl="0" w:tplc="F54E4D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8B7C87"/>
    <w:multiLevelType w:val="hybridMultilevel"/>
    <w:tmpl w:val="4D90EEE2"/>
    <w:lvl w:ilvl="0" w:tplc="F54E4D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B4584A"/>
    <w:multiLevelType w:val="hybridMultilevel"/>
    <w:tmpl w:val="8A008F94"/>
    <w:lvl w:ilvl="0" w:tplc="F54E4DEC">
      <w:numFmt w:val="bullet"/>
      <w:lvlText w:val="•"/>
      <w:lvlJc w:val="left"/>
      <w:pPr>
        <w:ind w:left="720" w:hanging="360"/>
      </w:pPr>
      <w:rPr>
        <w:rFonts w:ascii="Arial" w:eastAsiaTheme="minorHAnsi" w:hAnsi="Arial" w:cs="Aria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F56543"/>
    <w:multiLevelType w:val="hybridMultilevel"/>
    <w:tmpl w:val="FE72FC24"/>
    <w:lvl w:ilvl="0" w:tplc="F54E4D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9A6AD7"/>
    <w:multiLevelType w:val="hybridMultilevel"/>
    <w:tmpl w:val="F078E1C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E4D16E5"/>
    <w:multiLevelType w:val="hybridMultilevel"/>
    <w:tmpl w:val="16B0B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C462F1"/>
    <w:multiLevelType w:val="hybridMultilevel"/>
    <w:tmpl w:val="0A7ED30A"/>
    <w:lvl w:ilvl="0" w:tplc="F54E4D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9102431">
    <w:abstractNumId w:val="13"/>
  </w:num>
  <w:num w:numId="2" w16cid:durableId="974873492">
    <w:abstractNumId w:val="9"/>
  </w:num>
  <w:num w:numId="3" w16cid:durableId="1985232865">
    <w:abstractNumId w:val="11"/>
  </w:num>
  <w:num w:numId="4" w16cid:durableId="1728602737">
    <w:abstractNumId w:val="21"/>
  </w:num>
  <w:num w:numId="5" w16cid:durableId="864445530">
    <w:abstractNumId w:val="20"/>
  </w:num>
  <w:num w:numId="6" w16cid:durableId="1026322669">
    <w:abstractNumId w:val="12"/>
  </w:num>
  <w:num w:numId="7" w16cid:durableId="1065028636">
    <w:abstractNumId w:val="30"/>
  </w:num>
  <w:num w:numId="8" w16cid:durableId="1357803508">
    <w:abstractNumId w:val="10"/>
  </w:num>
  <w:num w:numId="9" w16cid:durableId="475031089">
    <w:abstractNumId w:val="15"/>
  </w:num>
  <w:num w:numId="10" w16cid:durableId="1434588323">
    <w:abstractNumId w:val="16"/>
  </w:num>
  <w:num w:numId="11" w16cid:durableId="1336956330">
    <w:abstractNumId w:val="14"/>
  </w:num>
  <w:num w:numId="12" w16cid:durableId="435907600">
    <w:abstractNumId w:val="4"/>
  </w:num>
  <w:num w:numId="13" w16cid:durableId="1574974623">
    <w:abstractNumId w:val="25"/>
  </w:num>
  <w:num w:numId="14" w16cid:durableId="1183711312">
    <w:abstractNumId w:val="23"/>
  </w:num>
  <w:num w:numId="15" w16cid:durableId="2094232132">
    <w:abstractNumId w:val="29"/>
  </w:num>
  <w:num w:numId="16" w16cid:durableId="309092204">
    <w:abstractNumId w:val="27"/>
  </w:num>
  <w:num w:numId="17" w16cid:durableId="1378773419">
    <w:abstractNumId w:val="19"/>
  </w:num>
  <w:num w:numId="18" w16cid:durableId="491990356">
    <w:abstractNumId w:val="1"/>
  </w:num>
  <w:num w:numId="19" w16cid:durableId="98574551">
    <w:abstractNumId w:val="8"/>
  </w:num>
  <w:num w:numId="20" w16cid:durableId="226765744">
    <w:abstractNumId w:val="6"/>
  </w:num>
  <w:num w:numId="21" w16cid:durableId="1109465976">
    <w:abstractNumId w:val="5"/>
  </w:num>
  <w:num w:numId="22" w16cid:durableId="1271358498">
    <w:abstractNumId w:val="28"/>
  </w:num>
  <w:num w:numId="23" w16cid:durableId="660816178">
    <w:abstractNumId w:val="24"/>
  </w:num>
  <w:num w:numId="24" w16cid:durableId="1351101790">
    <w:abstractNumId w:val="7"/>
  </w:num>
  <w:num w:numId="25" w16cid:durableId="780994559">
    <w:abstractNumId w:val="26"/>
  </w:num>
  <w:num w:numId="26" w16cid:durableId="1360277465">
    <w:abstractNumId w:val="22"/>
  </w:num>
  <w:num w:numId="27" w16cid:durableId="1360012548">
    <w:abstractNumId w:val="18"/>
  </w:num>
  <w:num w:numId="28" w16cid:durableId="1197815131">
    <w:abstractNumId w:val="2"/>
  </w:num>
  <w:num w:numId="29" w16cid:durableId="1161196818">
    <w:abstractNumId w:val="3"/>
  </w:num>
  <w:num w:numId="30" w16cid:durableId="332532324">
    <w:abstractNumId w:val="17"/>
  </w:num>
  <w:num w:numId="31" w16cid:durableId="817116923">
    <w:abstractNumId w:val="31"/>
  </w:num>
  <w:num w:numId="32" w16cid:durableId="538399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38A"/>
    <w:rsid w:val="0000114E"/>
    <w:rsid w:val="00007467"/>
    <w:rsid w:val="00090F24"/>
    <w:rsid w:val="000924A2"/>
    <w:rsid w:val="000A02FE"/>
    <w:rsid w:val="000B1D1A"/>
    <w:rsid w:val="000B75B9"/>
    <w:rsid w:val="000E017B"/>
    <w:rsid w:val="000E1737"/>
    <w:rsid w:val="000F6E62"/>
    <w:rsid w:val="00130FAB"/>
    <w:rsid w:val="001314F8"/>
    <w:rsid w:val="00137C82"/>
    <w:rsid w:val="0014001C"/>
    <w:rsid w:val="0014483D"/>
    <w:rsid w:val="001474C5"/>
    <w:rsid w:val="00157F60"/>
    <w:rsid w:val="00186B9F"/>
    <w:rsid w:val="00193D6A"/>
    <w:rsid w:val="00197BE4"/>
    <w:rsid w:val="001C6D0C"/>
    <w:rsid w:val="001F29AC"/>
    <w:rsid w:val="002136A1"/>
    <w:rsid w:val="0021518F"/>
    <w:rsid w:val="00221483"/>
    <w:rsid w:val="00240927"/>
    <w:rsid w:val="00271361"/>
    <w:rsid w:val="002B45BC"/>
    <w:rsid w:val="002F37D8"/>
    <w:rsid w:val="002F60C1"/>
    <w:rsid w:val="003032F3"/>
    <w:rsid w:val="00317433"/>
    <w:rsid w:val="00326E4F"/>
    <w:rsid w:val="00345225"/>
    <w:rsid w:val="003515D2"/>
    <w:rsid w:val="00351B19"/>
    <w:rsid w:val="00356FFF"/>
    <w:rsid w:val="0037032E"/>
    <w:rsid w:val="00374D6F"/>
    <w:rsid w:val="00387CB6"/>
    <w:rsid w:val="003A36F3"/>
    <w:rsid w:val="003B5625"/>
    <w:rsid w:val="003F38F0"/>
    <w:rsid w:val="0042069C"/>
    <w:rsid w:val="004444A6"/>
    <w:rsid w:val="0045231A"/>
    <w:rsid w:val="00456616"/>
    <w:rsid w:val="004624C8"/>
    <w:rsid w:val="00465928"/>
    <w:rsid w:val="00473DD3"/>
    <w:rsid w:val="00477103"/>
    <w:rsid w:val="0049188D"/>
    <w:rsid w:val="004B0722"/>
    <w:rsid w:val="004D30D7"/>
    <w:rsid w:val="004D7682"/>
    <w:rsid w:val="004E04A1"/>
    <w:rsid w:val="004E379E"/>
    <w:rsid w:val="004F0958"/>
    <w:rsid w:val="00506A41"/>
    <w:rsid w:val="00507624"/>
    <w:rsid w:val="00515B58"/>
    <w:rsid w:val="00515F28"/>
    <w:rsid w:val="00517C98"/>
    <w:rsid w:val="005322AC"/>
    <w:rsid w:val="00541914"/>
    <w:rsid w:val="00557602"/>
    <w:rsid w:val="00565D25"/>
    <w:rsid w:val="00575C78"/>
    <w:rsid w:val="00583FE6"/>
    <w:rsid w:val="005964DC"/>
    <w:rsid w:val="005A0825"/>
    <w:rsid w:val="005B4511"/>
    <w:rsid w:val="005C0E70"/>
    <w:rsid w:val="005C1FCF"/>
    <w:rsid w:val="005C359E"/>
    <w:rsid w:val="005D36E6"/>
    <w:rsid w:val="005E7501"/>
    <w:rsid w:val="005F33E8"/>
    <w:rsid w:val="006236DE"/>
    <w:rsid w:val="00631C30"/>
    <w:rsid w:val="006477C5"/>
    <w:rsid w:val="00660641"/>
    <w:rsid w:val="00676E67"/>
    <w:rsid w:val="006865B9"/>
    <w:rsid w:val="006A7657"/>
    <w:rsid w:val="006C4774"/>
    <w:rsid w:val="006D13C9"/>
    <w:rsid w:val="006E16FB"/>
    <w:rsid w:val="006E7192"/>
    <w:rsid w:val="007038D8"/>
    <w:rsid w:val="007133D6"/>
    <w:rsid w:val="00727359"/>
    <w:rsid w:val="00730756"/>
    <w:rsid w:val="00737B28"/>
    <w:rsid w:val="00764698"/>
    <w:rsid w:val="00790EA0"/>
    <w:rsid w:val="007A2549"/>
    <w:rsid w:val="007D6A01"/>
    <w:rsid w:val="007E5217"/>
    <w:rsid w:val="00814780"/>
    <w:rsid w:val="00830FEC"/>
    <w:rsid w:val="00851A3A"/>
    <w:rsid w:val="0087638A"/>
    <w:rsid w:val="008B2275"/>
    <w:rsid w:val="008B7C6C"/>
    <w:rsid w:val="008E79B8"/>
    <w:rsid w:val="00923587"/>
    <w:rsid w:val="00927499"/>
    <w:rsid w:val="0093210A"/>
    <w:rsid w:val="00967EAC"/>
    <w:rsid w:val="00980A27"/>
    <w:rsid w:val="00991C23"/>
    <w:rsid w:val="00996CEE"/>
    <w:rsid w:val="009B73B3"/>
    <w:rsid w:val="009C6E55"/>
    <w:rsid w:val="009F3413"/>
    <w:rsid w:val="00A00C72"/>
    <w:rsid w:val="00A404BD"/>
    <w:rsid w:val="00A55A41"/>
    <w:rsid w:val="00A72F60"/>
    <w:rsid w:val="00A73855"/>
    <w:rsid w:val="00A76DA8"/>
    <w:rsid w:val="00AC11FB"/>
    <w:rsid w:val="00AD2993"/>
    <w:rsid w:val="00AD741D"/>
    <w:rsid w:val="00AE52CE"/>
    <w:rsid w:val="00AE74AD"/>
    <w:rsid w:val="00AF0CAF"/>
    <w:rsid w:val="00B02772"/>
    <w:rsid w:val="00B11EF0"/>
    <w:rsid w:val="00B214A9"/>
    <w:rsid w:val="00B31EC6"/>
    <w:rsid w:val="00B51B2D"/>
    <w:rsid w:val="00B668AD"/>
    <w:rsid w:val="00BD0EA2"/>
    <w:rsid w:val="00BD201D"/>
    <w:rsid w:val="00BD7135"/>
    <w:rsid w:val="00BD71E6"/>
    <w:rsid w:val="00BF2171"/>
    <w:rsid w:val="00C23AC9"/>
    <w:rsid w:val="00C2449B"/>
    <w:rsid w:val="00C24744"/>
    <w:rsid w:val="00C36F92"/>
    <w:rsid w:val="00C72B00"/>
    <w:rsid w:val="00C741C6"/>
    <w:rsid w:val="00C75994"/>
    <w:rsid w:val="00C87095"/>
    <w:rsid w:val="00C8783B"/>
    <w:rsid w:val="00CA73E5"/>
    <w:rsid w:val="00CB2416"/>
    <w:rsid w:val="00CB2441"/>
    <w:rsid w:val="00CC37E1"/>
    <w:rsid w:val="00CC7BA3"/>
    <w:rsid w:val="00CD3F64"/>
    <w:rsid w:val="00CE5022"/>
    <w:rsid w:val="00D231A4"/>
    <w:rsid w:val="00D2765D"/>
    <w:rsid w:val="00D30996"/>
    <w:rsid w:val="00D57DB3"/>
    <w:rsid w:val="00D9333C"/>
    <w:rsid w:val="00E01D41"/>
    <w:rsid w:val="00E04F14"/>
    <w:rsid w:val="00E074D2"/>
    <w:rsid w:val="00E163E8"/>
    <w:rsid w:val="00E173BE"/>
    <w:rsid w:val="00E25C66"/>
    <w:rsid w:val="00E25DD4"/>
    <w:rsid w:val="00E3280E"/>
    <w:rsid w:val="00E32D64"/>
    <w:rsid w:val="00E34F3B"/>
    <w:rsid w:val="00E56121"/>
    <w:rsid w:val="00E74B60"/>
    <w:rsid w:val="00EA5DA7"/>
    <w:rsid w:val="00EE37DE"/>
    <w:rsid w:val="00F008EE"/>
    <w:rsid w:val="00F047EE"/>
    <w:rsid w:val="00F326A9"/>
    <w:rsid w:val="00F32CF3"/>
    <w:rsid w:val="00F410D5"/>
    <w:rsid w:val="00F45659"/>
    <w:rsid w:val="00F52EB4"/>
    <w:rsid w:val="00F52F4E"/>
    <w:rsid w:val="00F97A30"/>
    <w:rsid w:val="00FA56F2"/>
    <w:rsid w:val="00FB2EF5"/>
    <w:rsid w:val="00FD78DC"/>
    <w:rsid w:val="00FF5D2E"/>
    <w:rsid w:val="00FF7E36"/>
    <w:rsid w:val="051F0174"/>
    <w:rsid w:val="056626B1"/>
    <w:rsid w:val="06F40552"/>
    <w:rsid w:val="08F2C3E0"/>
    <w:rsid w:val="08F78886"/>
    <w:rsid w:val="0A7CBAAE"/>
    <w:rsid w:val="0D14BF7C"/>
    <w:rsid w:val="11324FCE"/>
    <w:rsid w:val="11484214"/>
    <w:rsid w:val="11F9D257"/>
    <w:rsid w:val="155CA1C9"/>
    <w:rsid w:val="15F4E60A"/>
    <w:rsid w:val="170BE6EC"/>
    <w:rsid w:val="1CB6D44F"/>
    <w:rsid w:val="1F4243AD"/>
    <w:rsid w:val="25EEB163"/>
    <w:rsid w:val="26E32F05"/>
    <w:rsid w:val="28A10188"/>
    <w:rsid w:val="2C0F8E9A"/>
    <w:rsid w:val="30803294"/>
    <w:rsid w:val="349C095C"/>
    <w:rsid w:val="35703B4B"/>
    <w:rsid w:val="3761A045"/>
    <w:rsid w:val="391AD4C9"/>
    <w:rsid w:val="39EAB997"/>
    <w:rsid w:val="3B312516"/>
    <w:rsid w:val="3C2D5A29"/>
    <w:rsid w:val="3E0A78DA"/>
    <w:rsid w:val="4037222D"/>
    <w:rsid w:val="41156CC9"/>
    <w:rsid w:val="45928A3E"/>
    <w:rsid w:val="4A5D6289"/>
    <w:rsid w:val="4BCEB215"/>
    <w:rsid w:val="4E599948"/>
    <w:rsid w:val="59A0EBCE"/>
    <w:rsid w:val="59D56E55"/>
    <w:rsid w:val="5CCC0E1A"/>
    <w:rsid w:val="5EF2EC07"/>
    <w:rsid w:val="6632EFC3"/>
    <w:rsid w:val="689F6F1F"/>
    <w:rsid w:val="6ACD41AA"/>
    <w:rsid w:val="708B2B2F"/>
    <w:rsid w:val="72E4728E"/>
    <w:rsid w:val="79C43BD6"/>
    <w:rsid w:val="7AC12E9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94503F"/>
  <w15:docId w15:val="{032100DD-D19D-41A9-AAA9-0086652F5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D6F"/>
    <w:rPr>
      <w:rFonts w:ascii="Arial" w:hAnsi="Arial"/>
      <w:sz w:val="24"/>
    </w:rPr>
  </w:style>
  <w:style w:type="paragraph" w:styleId="Heading1">
    <w:name w:val="heading 1"/>
    <w:basedOn w:val="Normal"/>
    <w:next w:val="Normal"/>
    <w:link w:val="Heading1Char"/>
    <w:uiPriority w:val="9"/>
    <w:qFormat/>
    <w:rsid w:val="00374D6F"/>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374D6F"/>
    <w:pPr>
      <w:keepNext/>
      <w:keepLines/>
      <w:spacing w:before="200" w:after="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4D6F"/>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374D6F"/>
    <w:rPr>
      <w:rFonts w:ascii="Arial" w:eastAsiaTheme="majorEastAsia" w:hAnsi="Arial" w:cstheme="majorBidi"/>
      <w:b/>
      <w:bCs/>
      <w:sz w:val="24"/>
      <w:szCs w:val="26"/>
    </w:rPr>
  </w:style>
  <w:style w:type="paragraph" w:styleId="ListParagraph">
    <w:name w:val="List Paragraph"/>
    <w:basedOn w:val="Normal"/>
    <w:uiPriority w:val="34"/>
    <w:qFormat/>
    <w:rsid w:val="0093210A"/>
    <w:pPr>
      <w:ind w:left="720"/>
      <w:contextualSpacing/>
    </w:pPr>
  </w:style>
  <w:style w:type="character" w:styleId="Hyperlink">
    <w:name w:val="Hyperlink"/>
    <w:basedOn w:val="DefaultParagraphFont"/>
    <w:uiPriority w:val="99"/>
    <w:unhideWhenUsed/>
    <w:rsid w:val="000E1737"/>
    <w:rPr>
      <w:color w:val="0000FF" w:themeColor="hyperlink"/>
      <w:u w:val="single"/>
    </w:rPr>
  </w:style>
  <w:style w:type="paragraph" w:styleId="FootnoteText">
    <w:name w:val="footnote text"/>
    <w:basedOn w:val="Normal"/>
    <w:link w:val="FootnoteTextChar"/>
    <w:uiPriority w:val="99"/>
    <w:unhideWhenUsed/>
    <w:rsid w:val="000E1737"/>
    <w:pPr>
      <w:spacing w:after="0" w:line="240" w:lineRule="auto"/>
    </w:pPr>
    <w:rPr>
      <w:sz w:val="20"/>
      <w:szCs w:val="20"/>
    </w:rPr>
  </w:style>
  <w:style w:type="character" w:customStyle="1" w:styleId="FootnoteTextChar">
    <w:name w:val="Footnote Text Char"/>
    <w:basedOn w:val="DefaultParagraphFont"/>
    <w:link w:val="FootnoteText"/>
    <w:uiPriority w:val="99"/>
    <w:rsid w:val="000E1737"/>
    <w:rPr>
      <w:rFonts w:ascii="Arial" w:hAnsi="Arial"/>
      <w:sz w:val="20"/>
      <w:szCs w:val="20"/>
    </w:rPr>
  </w:style>
  <w:style w:type="character" w:styleId="FootnoteReference">
    <w:name w:val="footnote reference"/>
    <w:basedOn w:val="DefaultParagraphFont"/>
    <w:uiPriority w:val="99"/>
    <w:semiHidden/>
    <w:unhideWhenUsed/>
    <w:rsid w:val="000E1737"/>
    <w:rPr>
      <w:vertAlign w:val="superscript"/>
    </w:rPr>
  </w:style>
  <w:style w:type="paragraph" w:customStyle="1" w:styleId="Bullets">
    <w:name w:val="Bullets"/>
    <w:basedOn w:val="ListParagraph"/>
    <w:link w:val="BulletsChar"/>
    <w:qFormat/>
    <w:rsid w:val="005322AC"/>
    <w:pPr>
      <w:numPr>
        <w:numId w:val="8"/>
      </w:numPr>
      <w:tabs>
        <w:tab w:val="left" w:pos="1134"/>
      </w:tabs>
      <w:ind w:left="1134" w:hanging="436"/>
    </w:pPr>
  </w:style>
  <w:style w:type="character" w:customStyle="1" w:styleId="BulletsChar">
    <w:name w:val="Bullets Char"/>
    <w:basedOn w:val="DefaultParagraphFont"/>
    <w:link w:val="Bullets"/>
    <w:rsid w:val="005322AC"/>
    <w:rPr>
      <w:rFonts w:ascii="Arial" w:hAnsi="Arial"/>
      <w:sz w:val="24"/>
    </w:rPr>
  </w:style>
  <w:style w:type="paragraph" w:styleId="Header">
    <w:name w:val="header"/>
    <w:basedOn w:val="Normal"/>
    <w:link w:val="HeaderChar"/>
    <w:uiPriority w:val="99"/>
    <w:unhideWhenUsed/>
    <w:rsid w:val="001400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001C"/>
    <w:rPr>
      <w:rFonts w:ascii="Arial" w:hAnsi="Arial"/>
      <w:sz w:val="24"/>
    </w:rPr>
  </w:style>
  <w:style w:type="paragraph" w:styleId="Footer">
    <w:name w:val="footer"/>
    <w:basedOn w:val="Normal"/>
    <w:link w:val="FooterChar"/>
    <w:uiPriority w:val="99"/>
    <w:unhideWhenUsed/>
    <w:rsid w:val="001400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001C"/>
    <w:rPr>
      <w:rFonts w:ascii="Arial" w:hAnsi="Arial"/>
      <w:sz w:val="24"/>
    </w:rPr>
  </w:style>
  <w:style w:type="paragraph" w:styleId="BalloonText">
    <w:name w:val="Balloon Text"/>
    <w:basedOn w:val="Normal"/>
    <w:link w:val="BalloonTextChar"/>
    <w:uiPriority w:val="99"/>
    <w:semiHidden/>
    <w:unhideWhenUsed/>
    <w:rsid w:val="00F52E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EB4"/>
    <w:rPr>
      <w:rFonts w:ascii="Segoe UI" w:hAnsi="Segoe UI" w:cs="Segoe UI"/>
      <w:sz w:val="18"/>
      <w:szCs w:val="18"/>
    </w:rPr>
  </w:style>
  <w:style w:type="character" w:styleId="UnresolvedMention">
    <w:name w:val="Unresolved Mention"/>
    <w:basedOn w:val="DefaultParagraphFont"/>
    <w:uiPriority w:val="99"/>
    <w:semiHidden/>
    <w:unhideWhenUsed/>
    <w:rsid w:val="00456616"/>
    <w:rPr>
      <w:color w:val="605E5C"/>
      <w:shd w:val="clear" w:color="auto" w:fill="E1DFDD"/>
    </w:rPr>
  </w:style>
  <w:style w:type="character" w:styleId="CommentReference">
    <w:name w:val="annotation reference"/>
    <w:basedOn w:val="DefaultParagraphFont"/>
    <w:uiPriority w:val="99"/>
    <w:semiHidden/>
    <w:unhideWhenUsed/>
    <w:rsid w:val="00356FFF"/>
    <w:rPr>
      <w:sz w:val="16"/>
      <w:szCs w:val="16"/>
    </w:rPr>
  </w:style>
  <w:style w:type="paragraph" w:styleId="CommentText">
    <w:name w:val="annotation text"/>
    <w:basedOn w:val="Normal"/>
    <w:link w:val="CommentTextChar"/>
    <w:uiPriority w:val="99"/>
    <w:unhideWhenUsed/>
    <w:rsid w:val="00356FFF"/>
    <w:pPr>
      <w:spacing w:line="240" w:lineRule="auto"/>
    </w:pPr>
    <w:rPr>
      <w:sz w:val="20"/>
      <w:szCs w:val="20"/>
    </w:rPr>
  </w:style>
  <w:style w:type="character" w:customStyle="1" w:styleId="CommentTextChar">
    <w:name w:val="Comment Text Char"/>
    <w:basedOn w:val="DefaultParagraphFont"/>
    <w:link w:val="CommentText"/>
    <w:uiPriority w:val="99"/>
    <w:rsid w:val="00356FF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56FFF"/>
    <w:rPr>
      <w:b/>
      <w:bCs/>
    </w:rPr>
  </w:style>
  <w:style w:type="character" w:customStyle="1" w:styleId="CommentSubjectChar">
    <w:name w:val="Comment Subject Char"/>
    <w:basedOn w:val="CommentTextChar"/>
    <w:link w:val="CommentSubject"/>
    <w:uiPriority w:val="99"/>
    <w:semiHidden/>
    <w:rsid w:val="00356FFF"/>
    <w:rPr>
      <w:rFonts w:ascii="Arial" w:hAnsi="Arial"/>
      <w:b/>
      <w:bCs/>
      <w:sz w:val="20"/>
      <w:szCs w:val="20"/>
    </w:rPr>
  </w:style>
  <w:style w:type="paragraph" w:styleId="Revision">
    <w:name w:val="Revision"/>
    <w:hidden/>
    <w:uiPriority w:val="99"/>
    <w:semiHidden/>
    <w:rsid w:val="00356FFF"/>
    <w:pPr>
      <w:spacing w:after="0" w:line="240" w:lineRule="auto"/>
    </w:pPr>
    <w:rPr>
      <w:rFonts w:ascii="Arial" w:hAnsi="Arial"/>
      <w:sz w:val="24"/>
    </w:rPr>
  </w:style>
  <w:style w:type="character" w:customStyle="1" w:styleId="cf01">
    <w:name w:val="cf01"/>
    <w:basedOn w:val="DefaultParagraphFont"/>
    <w:rsid w:val="00CE502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855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ullabytrust.org.uk/wp-content/uploads/Evidence-base-2019.pdf"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ullabytrust.org.uk/safer-sleep-advi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ullabytrust.org.uk/professional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scb.org.uk/documents/pre-birth-assessment-guidanc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5230C50E4EF4A40A57402F8DC7D1BAB" ma:contentTypeVersion="4" ma:contentTypeDescription="Create a new document." ma:contentTypeScope="" ma:versionID="679eb6215a25aaf17d35949f24b481f2">
  <xsd:schema xmlns:xsd="http://www.w3.org/2001/XMLSchema" xmlns:xs="http://www.w3.org/2001/XMLSchema" xmlns:p="http://schemas.microsoft.com/office/2006/metadata/properties" xmlns:ns2="71c051b4-f051-49e6-81f8-818ff6f5153c" targetNamespace="http://schemas.microsoft.com/office/2006/metadata/properties" ma:root="true" ma:fieldsID="adbcdeb3a5ea6edbce4e1ac7c319aa44" ns2:_="">
    <xsd:import namespace="71c051b4-f051-49e6-81f8-818ff6f515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051b4-f051-49e6-81f8-818ff6f515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E6D22F-6EF4-4758-A502-3AA6F0BEB09D}">
  <ds:schemaRefs>
    <ds:schemaRef ds:uri="http://schemas.openxmlformats.org/officeDocument/2006/bibliography"/>
  </ds:schemaRefs>
</ds:datastoreItem>
</file>

<file path=customXml/itemProps2.xml><?xml version="1.0" encoding="utf-8"?>
<ds:datastoreItem xmlns:ds="http://schemas.openxmlformats.org/officeDocument/2006/customXml" ds:itemID="{E598F5DA-22E1-4ABE-BA1C-1AC052540776}">
  <ds:schemaRefs>
    <ds:schemaRef ds:uri="http://www.w3.org/XML/1998/namespace"/>
    <ds:schemaRef ds:uri="http://schemas.microsoft.com/office/2006/metadata/properties"/>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71c051b4-f051-49e6-81f8-818ff6f5153c"/>
    <ds:schemaRef ds:uri="http://purl.org/dc/elements/1.1/"/>
  </ds:schemaRefs>
</ds:datastoreItem>
</file>

<file path=customXml/itemProps3.xml><?xml version="1.0" encoding="utf-8"?>
<ds:datastoreItem xmlns:ds="http://schemas.openxmlformats.org/officeDocument/2006/customXml" ds:itemID="{5A5708C3-4952-4044-9224-9DEE84094D28}">
  <ds:schemaRefs>
    <ds:schemaRef ds:uri="http://schemas.microsoft.com/sharepoint/v3/contenttype/forms"/>
  </ds:schemaRefs>
</ds:datastoreItem>
</file>

<file path=customXml/itemProps4.xml><?xml version="1.0" encoding="utf-8"?>
<ds:datastoreItem xmlns:ds="http://schemas.openxmlformats.org/officeDocument/2006/customXml" ds:itemID="{BEB07D85-A720-4191-9913-10312741FB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051b4-f051-49e6-81f8-818ff6f51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900</Words>
  <Characters>5135</Characters>
  <Application>Microsoft Office Word</Application>
  <DocSecurity>0</DocSecurity>
  <Lines>42</Lines>
  <Paragraphs>12</Paragraphs>
  <ScaleCrop>false</ScaleCrop>
  <Company>Oxfordshire County Council</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Wonnacott</dc:creator>
  <cp:keywords/>
  <cp:lastModifiedBy>Kinnell, Carole - Oxfordshire County Council</cp:lastModifiedBy>
  <cp:revision>3</cp:revision>
  <cp:lastPrinted>2024-12-11T19:47:00Z</cp:lastPrinted>
  <dcterms:created xsi:type="dcterms:W3CDTF">2024-12-11T19:47:00Z</dcterms:created>
  <dcterms:modified xsi:type="dcterms:W3CDTF">2024-12-12T08:44:00Z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0x01010045230C50E4EF4A40A57402F8DC7D1BAB</vt:lpwstr>
  </property>
</Properties>
</file>